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77" w:rsidRPr="003F6312" w:rsidRDefault="003E3077" w:rsidP="00E820DB"/>
    <w:p w:rsidR="003E3077" w:rsidRPr="003F6312" w:rsidRDefault="003E3077" w:rsidP="00E820DB"/>
    <w:p w:rsidR="003E3077" w:rsidRDefault="003E3077" w:rsidP="00E820DB"/>
    <w:p w:rsidR="00821AE3" w:rsidRDefault="00821AE3" w:rsidP="00E820DB"/>
    <w:p w:rsidR="00821AE3" w:rsidRDefault="00821AE3" w:rsidP="00E820DB"/>
    <w:p w:rsidR="00821AE3" w:rsidRPr="003F6312" w:rsidRDefault="00821AE3" w:rsidP="00E820DB"/>
    <w:p w:rsidR="003E3077" w:rsidRPr="003F6312" w:rsidRDefault="003E3077" w:rsidP="00E820DB"/>
    <w:p w:rsidR="003E3077" w:rsidRPr="003F6312" w:rsidRDefault="003E3077" w:rsidP="00E820DB"/>
    <w:p w:rsidR="00A31D9A" w:rsidRPr="003F6312" w:rsidRDefault="00A31D9A" w:rsidP="00E820DB"/>
    <w:p w:rsidR="00A31D9A" w:rsidRDefault="00A31D9A" w:rsidP="00E820DB"/>
    <w:p w:rsidR="00821AE3" w:rsidRDefault="00821AE3" w:rsidP="00E820DB"/>
    <w:p w:rsidR="00821AE3" w:rsidRDefault="00821AE3" w:rsidP="00E820DB"/>
    <w:p w:rsidR="00821AE3" w:rsidRPr="003F6312" w:rsidRDefault="00821AE3" w:rsidP="00E820DB"/>
    <w:p w:rsidR="003E3077" w:rsidRPr="003A59CE" w:rsidRDefault="006371A4" w:rsidP="003A59CE">
      <w:pPr>
        <w:pStyle w:val="Title"/>
        <w:spacing w:line="216" w:lineRule="auto"/>
        <w:jc w:val="center"/>
        <w:rPr>
          <w:sz w:val="72"/>
        </w:rPr>
      </w:pPr>
      <w:r w:rsidRPr="003A59CE">
        <w:rPr>
          <w:b/>
          <w:sz w:val="72"/>
        </w:rPr>
        <w:t>Titel</w:t>
      </w:r>
      <w:r w:rsidR="003A59CE" w:rsidRPr="003A59CE">
        <w:rPr>
          <w:b/>
          <w:sz w:val="72"/>
        </w:rPr>
        <w:t xml:space="preserve"> Jørgen med titel og titel på</w:t>
      </w:r>
      <w:r w:rsidR="003A59CE">
        <w:rPr>
          <w:b/>
          <w:sz w:val="72"/>
        </w:rPr>
        <w:t xml:space="preserve"> og to linjer?</w:t>
      </w:r>
    </w:p>
    <w:p w:rsidR="0085580E" w:rsidRPr="00755761" w:rsidRDefault="006371A4" w:rsidP="003A59CE">
      <w:pPr>
        <w:pStyle w:val="Subtitle"/>
        <w:spacing w:before="240" w:line="240" w:lineRule="auto"/>
        <w:jc w:val="center"/>
      </w:pPr>
      <w:r>
        <w:t>Underrubrik</w:t>
      </w:r>
      <w:r w:rsidR="003A59CE">
        <w:t xml:space="preserve"> som vel også kan være på to linjer</w:t>
      </w:r>
    </w:p>
    <w:p w:rsidR="0085580E" w:rsidRPr="003F6312" w:rsidRDefault="0085580E" w:rsidP="003A59CE">
      <w:pPr>
        <w:jc w:val="center"/>
        <w:rPr>
          <w:sz w:val="40"/>
        </w:rPr>
      </w:pPr>
    </w:p>
    <w:p w:rsidR="003E3077" w:rsidRPr="003F6312" w:rsidRDefault="006371A4" w:rsidP="003A59CE">
      <w:pPr>
        <w:pStyle w:val="Forsidedato"/>
        <w:jc w:val="center"/>
      </w:pPr>
      <w:r>
        <w:t>Måned</w:t>
      </w:r>
      <w:r w:rsidR="0085580E" w:rsidRPr="003F6312">
        <w:t xml:space="preserve"> </w:t>
      </w:r>
      <w:r>
        <w:t>201</w:t>
      </w:r>
      <w:r w:rsidR="009D1871">
        <w:t>9</w:t>
      </w:r>
      <w:bookmarkStart w:id="0" w:name="_GoBack"/>
      <w:bookmarkEnd w:id="0"/>
      <w:r w:rsidR="00F12D3A" w:rsidRPr="003F6312">
        <w:rPr>
          <w:noProof/>
          <w:lang w:eastAsia="da-DK"/>
        </w:rPr>
        <w:br/>
      </w:r>
    </w:p>
    <w:p w:rsidR="006E5DA6" w:rsidRPr="003A59CE" w:rsidRDefault="006E5DA6" w:rsidP="003A59CE">
      <w:pPr>
        <w:pStyle w:val="Heading1"/>
      </w:pPr>
      <w:bookmarkStart w:id="1" w:name="_Toc440896741"/>
      <w:r w:rsidRPr="003F6312">
        <w:br w:type="column"/>
      </w:r>
      <w:r w:rsidRPr="003A59CE">
        <w:lastRenderedPageBreak/>
        <w:t>Indhold</w:t>
      </w:r>
      <w:r w:rsidR="006371A4" w:rsidRPr="003A59CE">
        <w:t>sfortegnelse</w:t>
      </w:r>
      <w:bookmarkEnd w:id="1"/>
    </w:p>
    <w:p w:rsidR="00744C2C" w:rsidRPr="00C55C07" w:rsidRDefault="00821AE3">
      <w:pPr>
        <w:pStyle w:val="TOC1"/>
        <w:rPr>
          <w:rFonts w:eastAsiaTheme="minorEastAsia"/>
          <w:sz w:val="24"/>
          <w:szCs w:val="24"/>
          <w:lang w:eastAsia="da-DK"/>
        </w:rPr>
      </w:pPr>
      <w:r w:rsidRPr="00C55C07">
        <w:rPr>
          <w:b/>
          <w:color w:val="005842"/>
          <w:lang w:eastAsia="da-DK"/>
        </w:rPr>
        <w:fldChar w:fldCharType="begin"/>
      </w:r>
      <w:r w:rsidRPr="00C55C07">
        <w:rPr>
          <w:b/>
          <w:color w:val="005842"/>
          <w:lang w:eastAsia="da-DK"/>
        </w:rPr>
        <w:instrText xml:space="preserve"> TOC \o "1-2" </w:instrText>
      </w:r>
      <w:r w:rsidRPr="00C55C07">
        <w:rPr>
          <w:b/>
          <w:color w:val="005842"/>
          <w:lang w:eastAsia="da-DK"/>
        </w:rPr>
        <w:fldChar w:fldCharType="separate"/>
      </w:r>
      <w:r w:rsidR="00744C2C" w:rsidRPr="00C55C07">
        <w:rPr>
          <w:lang w:eastAsia="da-DK"/>
        </w:rPr>
        <w:t>Indholdsfortegnelse</w:t>
      </w:r>
      <w:r w:rsidR="00744C2C" w:rsidRPr="00C55C07">
        <w:tab/>
      </w:r>
      <w:r w:rsidR="00744C2C" w:rsidRPr="00C55C07">
        <w:fldChar w:fldCharType="begin"/>
      </w:r>
      <w:r w:rsidR="00744C2C" w:rsidRPr="00C55C07">
        <w:instrText xml:space="preserve"> PAGEREF _Toc440896741 \h </w:instrText>
      </w:r>
      <w:r w:rsidR="00744C2C" w:rsidRPr="00C55C07">
        <w:fldChar w:fldCharType="separate"/>
      </w:r>
      <w:r w:rsidR="009D1871">
        <w:t>1</w:t>
      </w:r>
      <w:r w:rsidR="00744C2C" w:rsidRPr="00C55C07">
        <w:fldChar w:fldCharType="end"/>
      </w:r>
    </w:p>
    <w:p w:rsidR="00744C2C" w:rsidRPr="00C55C07" w:rsidRDefault="00744C2C">
      <w:pPr>
        <w:pStyle w:val="TOC1"/>
        <w:rPr>
          <w:rFonts w:eastAsiaTheme="minorEastAsia"/>
          <w:sz w:val="24"/>
          <w:szCs w:val="24"/>
          <w:lang w:eastAsia="da-DK"/>
        </w:rPr>
      </w:pPr>
      <w:r w:rsidRPr="00C55C07">
        <w:t>Overskrift 1</w:t>
      </w:r>
      <w:r w:rsidRPr="00C55C07">
        <w:tab/>
      </w:r>
      <w:r w:rsidRPr="00C55C07">
        <w:fldChar w:fldCharType="begin"/>
      </w:r>
      <w:r w:rsidRPr="00C55C07">
        <w:instrText xml:space="preserve"> PAGEREF _Toc440896742 \h </w:instrText>
      </w:r>
      <w:r w:rsidRPr="00C55C07">
        <w:fldChar w:fldCharType="separate"/>
      </w:r>
      <w:r w:rsidR="009D1871">
        <w:t>2</w:t>
      </w:r>
      <w:r w:rsidRPr="00C55C07">
        <w:fldChar w:fldCharType="end"/>
      </w:r>
    </w:p>
    <w:p w:rsidR="00744C2C" w:rsidRPr="00C55C07" w:rsidRDefault="00744C2C" w:rsidP="00C55C07">
      <w:pPr>
        <w:pStyle w:val="TOC2"/>
        <w:rPr>
          <w:rFonts w:eastAsiaTheme="minorEastAsia"/>
          <w:sz w:val="24"/>
          <w:szCs w:val="24"/>
          <w:lang w:eastAsia="da-DK"/>
        </w:rPr>
      </w:pPr>
      <w:r w:rsidRPr="00C55C07">
        <w:t>Overskrift 2</w:t>
      </w:r>
      <w:r w:rsidRPr="00C55C07">
        <w:tab/>
      </w:r>
      <w:r w:rsidRPr="00C55C07">
        <w:fldChar w:fldCharType="begin"/>
      </w:r>
      <w:r w:rsidRPr="00C55C07">
        <w:instrText xml:space="preserve"> PAGEREF _Toc440896743 \h </w:instrText>
      </w:r>
      <w:r w:rsidRPr="00C55C07">
        <w:fldChar w:fldCharType="separate"/>
      </w:r>
      <w:r w:rsidR="009D1871">
        <w:t>2</w:t>
      </w:r>
      <w:r w:rsidRPr="00C55C07">
        <w:fldChar w:fldCharType="end"/>
      </w:r>
    </w:p>
    <w:p w:rsidR="00744C2C" w:rsidRPr="00C55C07" w:rsidRDefault="00744C2C">
      <w:pPr>
        <w:pStyle w:val="TOC1"/>
        <w:rPr>
          <w:rFonts w:eastAsiaTheme="minorEastAsia"/>
          <w:sz w:val="24"/>
          <w:szCs w:val="24"/>
          <w:lang w:eastAsia="da-DK"/>
        </w:rPr>
      </w:pPr>
      <w:r w:rsidRPr="00C55C07">
        <w:t>Uden målsætning, ingen retning Uden retning, ingen succes  (er et eksempel på et ”stærkt citat”)</w:t>
      </w:r>
      <w:r w:rsidRPr="00C55C07">
        <w:tab/>
      </w:r>
      <w:r w:rsidRPr="00C55C07">
        <w:fldChar w:fldCharType="begin"/>
      </w:r>
      <w:r w:rsidRPr="00C55C07">
        <w:instrText xml:space="preserve"> PAGEREF _Toc440896744 \h </w:instrText>
      </w:r>
      <w:r w:rsidRPr="00C55C07">
        <w:fldChar w:fldCharType="separate"/>
      </w:r>
      <w:r w:rsidR="009D1871">
        <w:t>2</w:t>
      </w:r>
      <w:r w:rsidRPr="00C55C07">
        <w:fldChar w:fldCharType="end"/>
      </w:r>
    </w:p>
    <w:p w:rsidR="00744C2C" w:rsidRPr="00C55C07" w:rsidRDefault="00744C2C" w:rsidP="00C55C07">
      <w:pPr>
        <w:pStyle w:val="TOC2"/>
        <w:rPr>
          <w:rFonts w:eastAsiaTheme="minorEastAsia"/>
          <w:sz w:val="24"/>
          <w:szCs w:val="24"/>
          <w:lang w:eastAsia="da-DK"/>
        </w:rPr>
      </w:pPr>
      <w:r w:rsidRPr="00C55C07">
        <w:t>Et godt tip</w:t>
      </w:r>
      <w:r w:rsidRPr="00C55C07">
        <w:tab/>
      </w:r>
      <w:r w:rsidRPr="00C55C07">
        <w:fldChar w:fldCharType="begin"/>
      </w:r>
      <w:r w:rsidRPr="00C55C07">
        <w:instrText xml:space="preserve"> PAGEREF _Toc440896745 \h </w:instrText>
      </w:r>
      <w:r w:rsidRPr="00C55C07">
        <w:fldChar w:fldCharType="separate"/>
      </w:r>
      <w:r w:rsidR="009D1871">
        <w:t>2</w:t>
      </w:r>
      <w:r w:rsidRPr="00C55C07">
        <w:fldChar w:fldCharType="end"/>
      </w:r>
    </w:p>
    <w:p w:rsidR="00744C2C" w:rsidRPr="00C55C07" w:rsidRDefault="00744C2C">
      <w:pPr>
        <w:pStyle w:val="TOC1"/>
        <w:rPr>
          <w:rFonts w:eastAsiaTheme="minorEastAsia"/>
          <w:sz w:val="24"/>
          <w:szCs w:val="24"/>
          <w:lang w:eastAsia="da-DK"/>
        </w:rPr>
      </w:pPr>
      <w:r w:rsidRPr="00C55C07">
        <w:t>Avanceret</w:t>
      </w:r>
      <w:r w:rsidRPr="00C55C07">
        <w:tab/>
      </w:r>
      <w:r w:rsidRPr="00C55C07">
        <w:fldChar w:fldCharType="begin"/>
      </w:r>
      <w:r w:rsidRPr="00C55C07">
        <w:instrText xml:space="preserve"> PAGEREF _Toc440896746 \h </w:instrText>
      </w:r>
      <w:r w:rsidRPr="00C55C07">
        <w:fldChar w:fldCharType="separate"/>
      </w:r>
      <w:r w:rsidR="009D1871">
        <w:t>2</w:t>
      </w:r>
      <w:r w:rsidRPr="00C55C07">
        <w:fldChar w:fldCharType="end"/>
      </w:r>
    </w:p>
    <w:p w:rsidR="006E5DA6" w:rsidRPr="003F6312" w:rsidRDefault="00821AE3" w:rsidP="00E820DB">
      <w:pPr>
        <w:rPr>
          <w:noProof/>
          <w:color w:val="005842"/>
          <w:lang w:eastAsia="da-DK"/>
        </w:rPr>
      </w:pPr>
      <w:r w:rsidRPr="00C55C07">
        <w:rPr>
          <w:b/>
          <w:noProof/>
          <w:color w:val="005842"/>
          <w:sz w:val="22"/>
          <w:lang w:eastAsia="da-DK"/>
        </w:rPr>
        <w:fldChar w:fldCharType="end"/>
      </w:r>
    </w:p>
    <w:p w:rsidR="00821AE3" w:rsidRDefault="00821AE3" w:rsidP="00E820DB"/>
    <w:p w:rsidR="008265FD" w:rsidRPr="003F6312" w:rsidRDefault="00821AE3" w:rsidP="003A59CE">
      <w:pPr>
        <w:pStyle w:val="Heading1"/>
      </w:pPr>
      <w:r>
        <w:br w:type="column"/>
      </w:r>
      <w:bookmarkStart w:id="2" w:name="_Toc440896742"/>
      <w:r w:rsidR="006371A4">
        <w:lastRenderedPageBreak/>
        <w:t>Overskrift 1</w:t>
      </w:r>
      <w:bookmarkEnd w:id="2"/>
    </w:p>
    <w:p w:rsidR="00821AE3" w:rsidRDefault="006371A4" w:rsidP="00E820DB">
      <w:r>
        <w:t>Brødtekst i Open Sans størrelse 10,5. Tekstenafstanden er 1,15 for at gøre teksten endnu mere læsevenlig. Evt. afsnit indsættes ved 2x ENTER.</w:t>
      </w:r>
    </w:p>
    <w:p w:rsidR="006371A4" w:rsidRDefault="006371A4" w:rsidP="00E820DB"/>
    <w:p w:rsidR="006371A4" w:rsidRPr="003A59CE" w:rsidRDefault="006371A4" w:rsidP="003A59CE">
      <w:pPr>
        <w:pStyle w:val="Heading2"/>
      </w:pPr>
      <w:bookmarkStart w:id="3" w:name="_Toc440896743"/>
      <w:r w:rsidRPr="003A59CE">
        <w:t>Overskrift 2</w:t>
      </w:r>
      <w:bookmarkEnd w:id="3"/>
    </w:p>
    <w:p w:rsidR="006371A4" w:rsidRDefault="006371A4" w:rsidP="00E820DB">
      <w:pPr>
        <w:rPr>
          <w:lang w:val="en-US"/>
        </w:rPr>
      </w:pPr>
      <w:r w:rsidRPr="006371A4">
        <w:t xml:space="preserve">Ut enim ad minim veniam, quis nostrud exercitation ullamco laboris nisi ut aliquip ex ea commodo consequat. </w:t>
      </w:r>
      <w:r w:rsidRPr="003A59CE">
        <w:rPr>
          <w:lang w:val="en-US"/>
        </w:rPr>
        <w:t>Duis aute irure dolor in reprehenderit in voluptate velit esse cillum dolore eu fugiat nulla pariatur. Excepteur sint occaecat cupidatat non proident, sunt in culpa qui officia deserunt mollit anim id est laborum.</w:t>
      </w:r>
    </w:p>
    <w:p w:rsidR="003A59CE" w:rsidRPr="003A59CE" w:rsidRDefault="003A59CE" w:rsidP="00E820DB">
      <w:pPr>
        <w:rPr>
          <w:lang w:val="en-US"/>
        </w:rPr>
      </w:pPr>
    </w:p>
    <w:p w:rsidR="001819D3" w:rsidRPr="003A59CE" w:rsidRDefault="006371A4" w:rsidP="003A59CE">
      <w:pPr>
        <w:pStyle w:val="IntenseQuote"/>
      </w:pPr>
      <w:bookmarkStart w:id="4" w:name="_Toc440896744"/>
      <w:r w:rsidRPr="003A59CE">
        <w:t>Uden målsætning, ingen retning</w:t>
      </w:r>
      <w:r w:rsidRPr="003A59CE">
        <w:br/>
        <w:t>Uden retning, ingen succe</w:t>
      </w:r>
      <w:r w:rsidR="001819D3" w:rsidRPr="003A59CE">
        <w:t xml:space="preserve">s </w:t>
      </w:r>
      <w:r w:rsidR="001819D3" w:rsidRPr="003A59CE">
        <w:br/>
      </w:r>
      <w:r w:rsidR="00744C2C" w:rsidRPr="003A59CE">
        <w:t>= S</w:t>
      </w:r>
      <w:r w:rsidR="001819D3" w:rsidRPr="003A59CE">
        <w:t>tærkt citat</w:t>
      </w:r>
      <w:bookmarkEnd w:id="4"/>
    </w:p>
    <w:p w:rsidR="006371A4" w:rsidRDefault="006371A4" w:rsidP="006371A4">
      <w:pPr>
        <w:pStyle w:val="Heading3"/>
      </w:pPr>
      <w:r>
        <w:t>Overskrift 3</w:t>
      </w:r>
    </w:p>
    <w:p w:rsidR="00821AE3" w:rsidRDefault="006371A4" w:rsidP="00E820DB">
      <w:r w:rsidRPr="006371A4">
        <w:t xml:space="preserve">Sed ut perspiciatis unde omnis iste natus error sit voluptatem accusantium doloremque laudantium, totam rem aperiam, </w:t>
      </w:r>
      <w:r w:rsidRPr="006371A4">
        <w:rPr>
          <w:rStyle w:val="Strong"/>
        </w:rPr>
        <w:t>fremhævet tekst</w:t>
      </w:r>
      <w:r>
        <w:t xml:space="preserve"> </w:t>
      </w:r>
      <w:r w:rsidR="001819D3">
        <w:t xml:space="preserve">og </w:t>
      </w:r>
      <w:r w:rsidR="001819D3" w:rsidRPr="001819D3">
        <w:rPr>
          <w:rStyle w:val="IntenseEmphasis"/>
        </w:rPr>
        <w:t>kraftig fremhævning</w:t>
      </w:r>
      <w:r w:rsidRPr="006371A4">
        <w:t xml:space="preserve"> ipsa quae ab illo inventore veritatis et quasi architecto bea</w:t>
      </w:r>
      <w:r w:rsidR="001819D3">
        <w:t>tae vitae dicta sunt explicabo.</w:t>
      </w:r>
    </w:p>
    <w:p w:rsidR="001819D3" w:rsidRDefault="001819D3" w:rsidP="00E820DB"/>
    <w:p w:rsidR="001819D3" w:rsidRDefault="001819D3" w:rsidP="00E820DB">
      <w:r>
        <w:t xml:space="preserve">Svar på alle dine politiske spørgsmål kan findes på linket her: </w:t>
      </w:r>
      <w:hyperlink r:id="rId8" w:history="1">
        <w:r w:rsidRPr="003A59CE">
          <w:rPr>
            <w:rStyle w:val="Hyperlink"/>
          </w:rPr>
          <w:t>www.konservative.dk</w:t>
        </w:r>
      </w:hyperlink>
      <w:r>
        <w:t xml:space="preserve"> </w:t>
      </w:r>
    </w:p>
    <w:p w:rsidR="001819D3" w:rsidRDefault="001819D3" w:rsidP="00E820DB"/>
    <w:p w:rsidR="001819D3" w:rsidRDefault="001819D3" w:rsidP="001819D3">
      <w:pPr>
        <w:pStyle w:val="Heading4"/>
      </w:pPr>
      <w:r>
        <w:t>Overskrift 4</w:t>
      </w:r>
    </w:p>
    <w:p w:rsidR="001819D3" w:rsidRDefault="001819D3" w:rsidP="00E820DB">
      <w:r>
        <w:t xml:space="preserve">Det er sjældent, at denne overskrift tages i brug… men den er der! </w:t>
      </w:r>
      <w:r>
        <w:sym w:font="Wingdings" w:char="F04A"/>
      </w:r>
    </w:p>
    <w:p w:rsidR="001819D3" w:rsidRDefault="001819D3" w:rsidP="00E820DB"/>
    <w:p w:rsidR="00821AE3" w:rsidRPr="003F6312" w:rsidRDefault="001819D3" w:rsidP="001819D3">
      <w:pPr>
        <w:pStyle w:val="Caption"/>
      </w:pPr>
      <w:r>
        <w:t xml:space="preserve">Billedetekst: </w:t>
      </w:r>
      <w:r w:rsidRPr="001819D3">
        <w:rPr>
          <w:b w:val="0"/>
        </w:rPr>
        <w:t xml:space="preserve">Eksempel på </w:t>
      </w:r>
      <w:r>
        <w:rPr>
          <w:b w:val="0"/>
        </w:rPr>
        <w:t xml:space="preserve">enkel </w:t>
      </w:r>
      <w:r w:rsidRPr="001819D3">
        <w:rPr>
          <w:b w:val="0"/>
        </w:rPr>
        <w:t>tabel</w:t>
      </w:r>
    </w:p>
    <w:p w:rsidR="003A2117" w:rsidRPr="003F6312" w:rsidRDefault="003A2117" w:rsidP="00D341F7">
      <w:pPr>
        <w:ind w:left="284" w:right="276"/>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3207"/>
        <w:gridCol w:w="3207"/>
        <w:gridCol w:w="3208"/>
      </w:tblGrid>
      <w:tr w:rsidR="003A2117" w:rsidRPr="003F6312" w:rsidTr="00E820DB">
        <w:tc>
          <w:tcPr>
            <w:tcW w:w="3207" w:type="dxa"/>
          </w:tcPr>
          <w:p w:rsidR="003A2117" w:rsidRPr="001819D3" w:rsidRDefault="003A2117" w:rsidP="00D341F7">
            <w:pPr>
              <w:pStyle w:val="NoSpacing"/>
              <w:ind w:left="284" w:right="276"/>
              <w:rPr>
                <w:b/>
              </w:rPr>
            </w:pPr>
            <w:r w:rsidRPr="001819D3">
              <w:rPr>
                <w:b/>
              </w:rPr>
              <w:t>Afstemningsområde</w:t>
            </w:r>
          </w:p>
        </w:tc>
        <w:tc>
          <w:tcPr>
            <w:tcW w:w="3207" w:type="dxa"/>
          </w:tcPr>
          <w:p w:rsidR="003A2117" w:rsidRPr="001819D3" w:rsidRDefault="003A2117" w:rsidP="00D341F7">
            <w:pPr>
              <w:pStyle w:val="NoSpacing"/>
              <w:ind w:left="284" w:right="276"/>
              <w:rPr>
                <w:b/>
              </w:rPr>
            </w:pPr>
            <w:r w:rsidRPr="001819D3">
              <w:rPr>
                <w:b/>
              </w:rPr>
              <w:t>Resultat</w:t>
            </w:r>
            <w:r w:rsidRPr="001819D3">
              <w:rPr>
                <w:b/>
                <w:spacing w:val="-2"/>
              </w:rPr>
              <w:t xml:space="preserve"> </w:t>
            </w:r>
            <w:r w:rsidRPr="001819D3">
              <w:rPr>
                <w:b/>
              </w:rPr>
              <w:t>20</w:t>
            </w:r>
            <w:r w:rsidR="001819D3">
              <w:rPr>
                <w:b/>
              </w:rPr>
              <w:t>13</w:t>
            </w:r>
          </w:p>
        </w:tc>
        <w:tc>
          <w:tcPr>
            <w:tcW w:w="3208" w:type="dxa"/>
          </w:tcPr>
          <w:p w:rsidR="003A2117" w:rsidRPr="001819D3" w:rsidRDefault="003A2117" w:rsidP="00D341F7">
            <w:pPr>
              <w:pStyle w:val="NoSpacing"/>
              <w:ind w:left="284" w:right="276"/>
              <w:rPr>
                <w:b/>
              </w:rPr>
            </w:pPr>
            <w:r w:rsidRPr="001819D3">
              <w:rPr>
                <w:b/>
              </w:rPr>
              <w:t>Målsætning</w:t>
            </w:r>
            <w:r w:rsidRPr="001819D3">
              <w:rPr>
                <w:b/>
                <w:spacing w:val="-4"/>
              </w:rPr>
              <w:t xml:space="preserve"> </w:t>
            </w:r>
            <w:r w:rsidRPr="001819D3">
              <w:rPr>
                <w:b/>
              </w:rPr>
              <w:t>201</w:t>
            </w:r>
            <w:r w:rsidR="001819D3">
              <w:rPr>
                <w:b/>
              </w:rPr>
              <w:t>7</w:t>
            </w:r>
          </w:p>
        </w:tc>
      </w:tr>
      <w:tr w:rsidR="003A2117" w:rsidRPr="003F6312" w:rsidTr="001819D3">
        <w:tc>
          <w:tcPr>
            <w:tcW w:w="3207" w:type="dxa"/>
            <w:shd w:val="clear" w:color="auto" w:fill="auto"/>
          </w:tcPr>
          <w:p w:rsidR="003A2117" w:rsidRPr="007D0BF2" w:rsidRDefault="003A2117" w:rsidP="00D341F7">
            <w:pPr>
              <w:pStyle w:val="NoSpacing"/>
              <w:ind w:left="284" w:right="276"/>
            </w:pPr>
            <w:r w:rsidRPr="007D0BF2">
              <w:t>Xstrup</w:t>
            </w:r>
          </w:p>
        </w:tc>
        <w:tc>
          <w:tcPr>
            <w:tcW w:w="3207" w:type="dxa"/>
            <w:shd w:val="clear" w:color="auto" w:fill="auto"/>
          </w:tcPr>
          <w:p w:rsidR="003A2117" w:rsidRPr="007D0BF2" w:rsidRDefault="003A2117" w:rsidP="00D341F7">
            <w:pPr>
              <w:pStyle w:val="NoSpacing"/>
              <w:ind w:left="284" w:right="276"/>
            </w:pPr>
            <w:r w:rsidRPr="007D0BF2">
              <w:t>1.121 (17.2</w:t>
            </w:r>
            <w:r w:rsidRPr="007D0BF2">
              <w:rPr>
                <w:spacing w:val="-6"/>
              </w:rPr>
              <w:t xml:space="preserve"> </w:t>
            </w:r>
            <w:r w:rsidRPr="007D0BF2">
              <w:t>%)</w:t>
            </w:r>
          </w:p>
        </w:tc>
        <w:tc>
          <w:tcPr>
            <w:tcW w:w="3208" w:type="dxa"/>
            <w:shd w:val="clear" w:color="auto" w:fill="auto"/>
          </w:tcPr>
          <w:p w:rsidR="003A2117" w:rsidRPr="007D0BF2" w:rsidRDefault="003A2117" w:rsidP="00D341F7">
            <w:pPr>
              <w:pStyle w:val="NoSpacing"/>
              <w:ind w:left="284" w:right="276"/>
            </w:pPr>
            <w:r w:rsidRPr="007D0BF2">
              <w:rPr>
                <w:w w:val="95"/>
              </w:rPr>
              <w:t>1.354</w:t>
            </w:r>
          </w:p>
        </w:tc>
      </w:tr>
      <w:tr w:rsidR="003A2117" w:rsidRPr="003F6312" w:rsidTr="001819D3">
        <w:tc>
          <w:tcPr>
            <w:tcW w:w="3207" w:type="dxa"/>
            <w:shd w:val="clear" w:color="auto" w:fill="auto"/>
          </w:tcPr>
          <w:p w:rsidR="003A2117" w:rsidRPr="007D0BF2" w:rsidRDefault="003A2117" w:rsidP="00D341F7">
            <w:pPr>
              <w:pStyle w:val="NoSpacing"/>
              <w:ind w:left="284" w:right="276"/>
            </w:pPr>
            <w:r w:rsidRPr="007D0BF2">
              <w:t>Xby</w:t>
            </w:r>
          </w:p>
        </w:tc>
        <w:tc>
          <w:tcPr>
            <w:tcW w:w="3207" w:type="dxa"/>
            <w:shd w:val="clear" w:color="auto" w:fill="auto"/>
          </w:tcPr>
          <w:p w:rsidR="003A2117" w:rsidRPr="007D0BF2" w:rsidRDefault="003A2117" w:rsidP="00D341F7">
            <w:pPr>
              <w:pStyle w:val="NoSpacing"/>
              <w:ind w:left="284" w:right="276"/>
            </w:pPr>
            <w:r w:rsidRPr="007D0BF2">
              <w:t>452 (3.7</w:t>
            </w:r>
            <w:r w:rsidRPr="007D0BF2">
              <w:rPr>
                <w:spacing w:val="-7"/>
              </w:rPr>
              <w:t xml:space="preserve"> </w:t>
            </w:r>
            <w:r w:rsidRPr="007D0BF2">
              <w:t>%)</w:t>
            </w:r>
          </w:p>
        </w:tc>
        <w:tc>
          <w:tcPr>
            <w:tcW w:w="3208" w:type="dxa"/>
            <w:shd w:val="clear" w:color="auto" w:fill="auto"/>
          </w:tcPr>
          <w:p w:rsidR="003A2117" w:rsidRPr="007D0BF2" w:rsidRDefault="003A2117" w:rsidP="00D341F7">
            <w:pPr>
              <w:pStyle w:val="NoSpacing"/>
              <w:ind w:left="284" w:right="276"/>
            </w:pPr>
            <w:r w:rsidRPr="007D0BF2">
              <w:rPr>
                <w:w w:val="95"/>
              </w:rPr>
              <w:t>454</w:t>
            </w:r>
          </w:p>
        </w:tc>
      </w:tr>
      <w:tr w:rsidR="003A2117" w:rsidRPr="003F6312" w:rsidTr="001819D3">
        <w:tc>
          <w:tcPr>
            <w:tcW w:w="3207" w:type="dxa"/>
            <w:shd w:val="clear" w:color="auto" w:fill="auto"/>
          </w:tcPr>
          <w:p w:rsidR="003A2117" w:rsidRPr="007D0BF2" w:rsidRDefault="003A2117" w:rsidP="00D341F7">
            <w:pPr>
              <w:pStyle w:val="NoSpacing"/>
              <w:ind w:left="284" w:right="276"/>
            </w:pPr>
            <w:r w:rsidRPr="007D0BF2">
              <w:t>Xfjord</w:t>
            </w:r>
          </w:p>
        </w:tc>
        <w:tc>
          <w:tcPr>
            <w:tcW w:w="3207" w:type="dxa"/>
            <w:shd w:val="clear" w:color="auto" w:fill="auto"/>
          </w:tcPr>
          <w:p w:rsidR="003A2117" w:rsidRPr="007D0BF2" w:rsidRDefault="003A2117" w:rsidP="00D341F7">
            <w:pPr>
              <w:pStyle w:val="NoSpacing"/>
              <w:ind w:left="284" w:right="276"/>
            </w:pPr>
            <w:r w:rsidRPr="007D0BF2">
              <w:t>342 (3.9</w:t>
            </w:r>
            <w:r w:rsidRPr="007D0BF2">
              <w:rPr>
                <w:spacing w:val="-7"/>
              </w:rPr>
              <w:t xml:space="preserve"> </w:t>
            </w:r>
            <w:r w:rsidRPr="007D0BF2">
              <w:t>%)</w:t>
            </w:r>
          </w:p>
        </w:tc>
        <w:tc>
          <w:tcPr>
            <w:tcW w:w="3208" w:type="dxa"/>
            <w:shd w:val="clear" w:color="auto" w:fill="auto"/>
          </w:tcPr>
          <w:p w:rsidR="003A2117" w:rsidRPr="007D0BF2" w:rsidRDefault="003A2117" w:rsidP="00D341F7">
            <w:pPr>
              <w:pStyle w:val="NoSpacing"/>
              <w:ind w:left="284" w:right="276"/>
            </w:pPr>
            <w:r w:rsidRPr="007D0BF2">
              <w:rPr>
                <w:w w:val="95"/>
              </w:rPr>
              <w:t>385</w:t>
            </w:r>
          </w:p>
        </w:tc>
      </w:tr>
      <w:tr w:rsidR="003A2117" w:rsidRPr="003F6312" w:rsidTr="00E820DB">
        <w:tc>
          <w:tcPr>
            <w:tcW w:w="3207" w:type="dxa"/>
          </w:tcPr>
          <w:p w:rsidR="003A2117" w:rsidRPr="007D0BF2" w:rsidRDefault="003A2117" w:rsidP="00D341F7">
            <w:pPr>
              <w:pStyle w:val="NoSpacing"/>
              <w:ind w:left="284" w:right="276"/>
            </w:pPr>
            <w:r w:rsidRPr="007D0BF2">
              <w:t>I alt</w:t>
            </w:r>
          </w:p>
        </w:tc>
        <w:tc>
          <w:tcPr>
            <w:tcW w:w="3207" w:type="dxa"/>
          </w:tcPr>
          <w:p w:rsidR="003A2117" w:rsidRPr="007D0BF2" w:rsidRDefault="003A2117" w:rsidP="00D341F7">
            <w:pPr>
              <w:pStyle w:val="NoSpacing"/>
              <w:ind w:left="284" w:right="276"/>
            </w:pPr>
          </w:p>
        </w:tc>
        <w:tc>
          <w:tcPr>
            <w:tcW w:w="3208" w:type="dxa"/>
          </w:tcPr>
          <w:p w:rsidR="003A2117" w:rsidRPr="007D0BF2" w:rsidRDefault="001819D3" w:rsidP="00D341F7">
            <w:pPr>
              <w:pStyle w:val="NoSpacing"/>
              <w:ind w:left="284" w:right="276"/>
            </w:pPr>
            <w:r>
              <w:t>Rigtig mange stemmer</w:t>
            </w:r>
          </w:p>
        </w:tc>
      </w:tr>
    </w:tbl>
    <w:p w:rsidR="00B07B50" w:rsidRPr="003F6312" w:rsidRDefault="00B07B50" w:rsidP="00D341F7">
      <w:pPr>
        <w:ind w:left="284" w:right="276"/>
      </w:pPr>
    </w:p>
    <w:p w:rsidR="003A2117" w:rsidRPr="003F6312" w:rsidRDefault="003A2117" w:rsidP="00E820DB"/>
    <w:tbl>
      <w:tblPr>
        <w:tblW w:w="0" w:type="auto"/>
        <w:shd w:val="clear" w:color="auto" w:fill="F2F2F2" w:themeFill="background1" w:themeFillShade="F2"/>
        <w:tblCellMar>
          <w:top w:w="170" w:type="dxa"/>
          <w:left w:w="170" w:type="dxa"/>
          <w:bottom w:w="198" w:type="dxa"/>
          <w:right w:w="170" w:type="dxa"/>
        </w:tblCellMar>
        <w:tblLook w:val="04A0" w:firstRow="1" w:lastRow="0" w:firstColumn="1" w:lastColumn="0" w:noHBand="0" w:noVBand="1"/>
      </w:tblPr>
      <w:tblGrid>
        <w:gridCol w:w="9622"/>
      </w:tblGrid>
      <w:tr w:rsidR="00B07B50" w:rsidRPr="003F6312" w:rsidTr="00B07B50">
        <w:tc>
          <w:tcPr>
            <w:tcW w:w="9622" w:type="dxa"/>
            <w:shd w:val="clear" w:color="auto" w:fill="F2F2F2" w:themeFill="background1" w:themeFillShade="F2"/>
          </w:tcPr>
          <w:p w:rsidR="00B07B50" w:rsidRPr="003F6312" w:rsidRDefault="00B07B50" w:rsidP="003A59CE">
            <w:pPr>
              <w:pStyle w:val="Heading3"/>
            </w:pPr>
            <w:bookmarkStart w:id="5" w:name="_Toc440896745"/>
            <w:r w:rsidRPr="003F6312">
              <w:t>Et godt tip</w:t>
            </w:r>
            <w:bookmarkEnd w:id="5"/>
          </w:p>
          <w:p w:rsidR="00B07B50" w:rsidRPr="003F6312" w:rsidRDefault="001819D3" w:rsidP="001819D3">
            <w:r>
              <w:t xml:space="preserve">Nogle gange har man brug for at fremhæve tekst eller informationer eller OBS!’er eller links eller andre nyttige ting… Hvis det er </w:t>
            </w:r>
            <w:proofErr w:type="gramStart"/>
            <w:r>
              <w:t>vigtigt</w:t>
            </w:r>
            <w:proofErr w:type="gramEnd"/>
            <w:r>
              <w:t xml:space="preserve"> er det rart med en kasse!</w:t>
            </w:r>
          </w:p>
        </w:tc>
      </w:tr>
    </w:tbl>
    <w:p w:rsidR="00B07B50" w:rsidRPr="003F6312" w:rsidRDefault="001819D3" w:rsidP="003A59CE">
      <w:pPr>
        <w:pStyle w:val="Heading1"/>
      </w:pPr>
      <w:bookmarkStart w:id="6" w:name="_Toc440896746"/>
      <w:r>
        <w:t>Avanceret</w:t>
      </w:r>
      <w:bookmarkEnd w:id="6"/>
    </w:p>
    <w:p w:rsidR="005A17DA" w:rsidRDefault="001819D3" w:rsidP="00E820DB">
      <w:r>
        <w:t>Til større tabeller eller tabeller med mange</w:t>
      </w:r>
      <w:r w:rsidR="00744C2C">
        <w:t xml:space="preserve"> tal, hvor det er en fordel for læseren med linjer anbefales følgende eller Words ”Listetabel 2” med markeringsfarve 3 (lysegrå) eller 6 (lysegrøn).</w:t>
      </w:r>
    </w:p>
    <w:p w:rsidR="001819D3" w:rsidRPr="003F6312" w:rsidRDefault="001819D3" w:rsidP="00E820DB"/>
    <w:tbl>
      <w:tblPr>
        <w:tblStyle w:val="ListTable2-Accent3"/>
        <w:tblW w:w="0" w:type="auto"/>
        <w:tblLook w:val="04A0" w:firstRow="1" w:lastRow="0" w:firstColumn="1" w:lastColumn="0" w:noHBand="0" w:noVBand="1"/>
      </w:tblPr>
      <w:tblGrid>
        <w:gridCol w:w="2405"/>
        <w:gridCol w:w="2405"/>
        <w:gridCol w:w="2406"/>
        <w:gridCol w:w="2406"/>
      </w:tblGrid>
      <w:tr w:rsidR="00755761" w:rsidRPr="00755761" w:rsidTr="007D0BF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tcPr>
          <w:p w:rsidR="00755761" w:rsidRPr="0053505F" w:rsidRDefault="001819D3" w:rsidP="001253E2">
            <w:r>
              <w:t>Kolonne 1</w:t>
            </w:r>
          </w:p>
        </w:tc>
        <w:tc>
          <w:tcPr>
            <w:tcW w:w="2405" w:type="dxa"/>
          </w:tcPr>
          <w:p w:rsidR="00755761" w:rsidRPr="0053505F" w:rsidRDefault="001819D3" w:rsidP="001253E2">
            <w:pPr>
              <w:cnfStyle w:val="100000000000" w:firstRow="1" w:lastRow="0" w:firstColumn="0" w:lastColumn="0" w:oddVBand="0" w:evenVBand="0" w:oddHBand="0" w:evenHBand="0" w:firstRowFirstColumn="0" w:firstRowLastColumn="0" w:lastRowFirstColumn="0" w:lastRowLastColumn="0"/>
            </w:pPr>
            <w:r>
              <w:t>Kolonne 2</w:t>
            </w:r>
          </w:p>
        </w:tc>
        <w:tc>
          <w:tcPr>
            <w:tcW w:w="2406" w:type="dxa"/>
          </w:tcPr>
          <w:p w:rsidR="00755761" w:rsidRPr="0053505F" w:rsidRDefault="001819D3" w:rsidP="001253E2">
            <w:pPr>
              <w:cnfStyle w:val="100000000000" w:firstRow="1" w:lastRow="0" w:firstColumn="0" w:lastColumn="0" w:oddVBand="0" w:evenVBand="0" w:oddHBand="0" w:evenHBand="0" w:firstRowFirstColumn="0" w:firstRowLastColumn="0" w:lastRowFirstColumn="0" w:lastRowLastColumn="0"/>
            </w:pPr>
            <w:r>
              <w:t>Kolonne 3</w:t>
            </w:r>
          </w:p>
        </w:tc>
        <w:tc>
          <w:tcPr>
            <w:tcW w:w="2406" w:type="dxa"/>
          </w:tcPr>
          <w:p w:rsidR="00755761" w:rsidRPr="00D15AAA" w:rsidRDefault="00755761" w:rsidP="001253E2">
            <w:pPr>
              <w:cnfStyle w:val="100000000000" w:firstRow="1" w:lastRow="0" w:firstColumn="0" w:lastColumn="0" w:oddVBand="0" w:evenVBand="0" w:oddHBand="0" w:evenHBand="0" w:firstRowFirstColumn="0" w:firstRowLastColumn="0" w:lastRowFirstColumn="0" w:lastRowLastColumn="0"/>
              <w:rPr>
                <w:b w:val="0"/>
              </w:rPr>
            </w:pPr>
          </w:p>
        </w:tc>
      </w:tr>
      <w:tr w:rsidR="00755761" w:rsidRPr="00755761" w:rsidTr="007D0BF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tcPr>
          <w:p w:rsidR="00755761" w:rsidRPr="00D15AAA" w:rsidRDefault="00755761" w:rsidP="001253E2">
            <w:pPr>
              <w:rPr>
                <w:b w:val="0"/>
              </w:rPr>
            </w:pPr>
          </w:p>
        </w:tc>
        <w:tc>
          <w:tcPr>
            <w:tcW w:w="2405" w:type="dxa"/>
          </w:tcPr>
          <w:p w:rsidR="00755761" w:rsidRPr="00D15AAA" w:rsidRDefault="00755761"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755761" w:rsidRPr="00D15AAA" w:rsidRDefault="00755761"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755761" w:rsidRPr="00D15AAA" w:rsidRDefault="00755761" w:rsidP="001253E2">
            <w:pPr>
              <w:cnfStyle w:val="000000100000" w:firstRow="0" w:lastRow="0" w:firstColumn="0" w:lastColumn="0" w:oddVBand="0" w:evenVBand="0" w:oddHBand="1" w:evenHBand="0" w:firstRowFirstColumn="0" w:firstRowLastColumn="0" w:lastRowFirstColumn="0" w:lastRowLastColumn="0"/>
            </w:pPr>
          </w:p>
        </w:tc>
      </w:tr>
      <w:tr w:rsidR="00755761" w:rsidRPr="00755761" w:rsidTr="007D0BF2">
        <w:trPr>
          <w:trHeight w:val="269"/>
        </w:trPr>
        <w:tc>
          <w:tcPr>
            <w:cnfStyle w:val="001000000000" w:firstRow="0" w:lastRow="0" w:firstColumn="1" w:lastColumn="0" w:oddVBand="0" w:evenVBand="0" w:oddHBand="0" w:evenHBand="0" w:firstRowFirstColumn="0" w:firstRowLastColumn="0" w:lastRowFirstColumn="0" w:lastRowLastColumn="0"/>
            <w:tcW w:w="2405" w:type="dxa"/>
          </w:tcPr>
          <w:p w:rsidR="00755761" w:rsidRPr="00D15AAA" w:rsidRDefault="00755761" w:rsidP="001253E2">
            <w:pPr>
              <w:rPr>
                <w:b w:val="0"/>
              </w:rPr>
            </w:pPr>
          </w:p>
        </w:tc>
        <w:tc>
          <w:tcPr>
            <w:tcW w:w="2405" w:type="dxa"/>
          </w:tcPr>
          <w:p w:rsidR="00755761" w:rsidRPr="00D15AAA" w:rsidRDefault="00755761" w:rsidP="001253E2">
            <w:pPr>
              <w:cnfStyle w:val="000000000000" w:firstRow="0" w:lastRow="0" w:firstColumn="0" w:lastColumn="0" w:oddVBand="0" w:evenVBand="0" w:oddHBand="0" w:evenHBand="0" w:firstRowFirstColumn="0" w:firstRowLastColumn="0" w:lastRowFirstColumn="0" w:lastRowLastColumn="0"/>
            </w:pPr>
          </w:p>
        </w:tc>
        <w:tc>
          <w:tcPr>
            <w:tcW w:w="2406" w:type="dxa"/>
          </w:tcPr>
          <w:p w:rsidR="00755761" w:rsidRPr="00D15AAA" w:rsidRDefault="00755761" w:rsidP="001253E2">
            <w:pPr>
              <w:cnfStyle w:val="000000000000" w:firstRow="0" w:lastRow="0" w:firstColumn="0" w:lastColumn="0" w:oddVBand="0" w:evenVBand="0" w:oddHBand="0" w:evenHBand="0" w:firstRowFirstColumn="0" w:firstRowLastColumn="0" w:lastRowFirstColumn="0" w:lastRowLastColumn="0"/>
            </w:pPr>
          </w:p>
        </w:tc>
        <w:tc>
          <w:tcPr>
            <w:tcW w:w="2406" w:type="dxa"/>
          </w:tcPr>
          <w:p w:rsidR="00755761" w:rsidRPr="00D15AAA" w:rsidRDefault="00755761" w:rsidP="001253E2">
            <w:pPr>
              <w:cnfStyle w:val="000000000000" w:firstRow="0" w:lastRow="0" w:firstColumn="0" w:lastColumn="0" w:oddVBand="0" w:evenVBand="0" w:oddHBand="0" w:evenHBand="0" w:firstRowFirstColumn="0" w:firstRowLastColumn="0" w:lastRowFirstColumn="0" w:lastRowLastColumn="0"/>
            </w:pPr>
          </w:p>
        </w:tc>
      </w:tr>
      <w:tr w:rsidR="0053505F" w:rsidRPr="00755761" w:rsidTr="007D0BF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tcPr>
          <w:p w:rsidR="0053505F" w:rsidRPr="00D15AAA" w:rsidRDefault="0053505F" w:rsidP="001253E2">
            <w:pPr>
              <w:rPr>
                <w:b w:val="0"/>
              </w:rPr>
            </w:pPr>
          </w:p>
        </w:tc>
        <w:tc>
          <w:tcPr>
            <w:tcW w:w="2405" w:type="dxa"/>
          </w:tcPr>
          <w:p w:rsidR="0053505F" w:rsidRDefault="0053505F"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53505F" w:rsidRDefault="0053505F"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53505F" w:rsidRPr="00D15AAA" w:rsidRDefault="0053505F" w:rsidP="001253E2">
            <w:pPr>
              <w:cnfStyle w:val="000000100000" w:firstRow="0" w:lastRow="0" w:firstColumn="0" w:lastColumn="0" w:oddVBand="0" w:evenVBand="0" w:oddHBand="1" w:evenHBand="0" w:firstRowFirstColumn="0" w:firstRowLastColumn="0" w:lastRowFirstColumn="0" w:lastRowLastColumn="0"/>
            </w:pPr>
          </w:p>
        </w:tc>
      </w:tr>
      <w:tr w:rsidR="0053505F" w:rsidRPr="00755761" w:rsidTr="007D0BF2">
        <w:trPr>
          <w:trHeight w:val="269"/>
        </w:trPr>
        <w:tc>
          <w:tcPr>
            <w:cnfStyle w:val="001000000000" w:firstRow="0" w:lastRow="0" w:firstColumn="1" w:lastColumn="0" w:oddVBand="0" w:evenVBand="0" w:oddHBand="0" w:evenHBand="0" w:firstRowFirstColumn="0" w:firstRowLastColumn="0" w:lastRowFirstColumn="0" w:lastRowLastColumn="0"/>
            <w:tcW w:w="2405" w:type="dxa"/>
          </w:tcPr>
          <w:p w:rsidR="0053505F" w:rsidRDefault="0053505F" w:rsidP="001253E2">
            <w:pPr>
              <w:rPr>
                <w:b w:val="0"/>
              </w:rPr>
            </w:pPr>
          </w:p>
        </w:tc>
        <w:tc>
          <w:tcPr>
            <w:tcW w:w="2405" w:type="dxa"/>
          </w:tcPr>
          <w:p w:rsidR="0053505F" w:rsidRDefault="0053505F" w:rsidP="001253E2">
            <w:pPr>
              <w:cnfStyle w:val="000000000000" w:firstRow="0" w:lastRow="0" w:firstColumn="0" w:lastColumn="0" w:oddVBand="0" w:evenVBand="0" w:oddHBand="0" w:evenHBand="0" w:firstRowFirstColumn="0" w:firstRowLastColumn="0" w:lastRowFirstColumn="0" w:lastRowLastColumn="0"/>
            </w:pPr>
          </w:p>
        </w:tc>
        <w:tc>
          <w:tcPr>
            <w:tcW w:w="2406" w:type="dxa"/>
          </w:tcPr>
          <w:p w:rsidR="0053505F" w:rsidRDefault="0053505F" w:rsidP="001253E2">
            <w:pPr>
              <w:cnfStyle w:val="000000000000" w:firstRow="0" w:lastRow="0" w:firstColumn="0" w:lastColumn="0" w:oddVBand="0" w:evenVBand="0" w:oddHBand="0" w:evenHBand="0" w:firstRowFirstColumn="0" w:firstRowLastColumn="0" w:lastRowFirstColumn="0" w:lastRowLastColumn="0"/>
            </w:pPr>
          </w:p>
        </w:tc>
        <w:tc>
          <w:tcPr>
            <w:tcW w:w="2406" w:type="dxa"/>
          </w:tcPr>
          <w:p w:rsidR="0053505F" w:rsidRPr="00D15AAA" w:rsidRDefault="0053505F" w:rsidP="001253E2">
            <w:pPr>
              <w:cnfStyle w:val="000000000000" w:firstRow="0" w:lastRow="0" w:firstColumn="0" w:lastColumn="0" w:oddVBand="0" w:evenVBand="0" w:oddHBand="0" w:evenHBand="0" w:firstRowFirstColumn="0" w:firstRowLastColumn="0" w:lastRowFirstColumn="0" w:lastRowLastColumn="0"/>
            </w:pPr>
          </w:p>
        </w:tc>
      </w:tr>
      <w:tr w:rsidR="0053505F" w:rsidRPr="00755761" w:rsidTr="007D0BF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tcPr>
          <w:p w:rsidR="0053505F" w:rsidRDefault="0053505F" w:rsidP="001253E2">
            <w:pPr>
              <w:rPr>
                <w:b w:val="0"/>
              </w:rPr>
            </w:pPr>
          </w:p>
        </w:tc>
        <w:tc>
          <w:tcPr>
            <w:tcW w:w="2405" w:type="dxa"/>
          </w:tcPr>
          <w:p w:rsidR="0053505F" w:rsidRDefault="0053505F"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53505F" w:rsidRDefault="0053505F" w:rsidP="001253E2">
            <w:pPr>
              <w:cnfStyle w:val="000000100000" w:firstRow="0" w:lastRow="0" w:firstColumn="0" w:lastColumn="0" w:oddVBand="0" w:evenVBand="0" w:oddHBand="1" w:evenHBand="0" w:firstRowFirstColumn="0" w:firstRowLastColumn="0" w:lastRowFirstColumn="0" w:lastRowLastColumn="0"/>
            </w:pPr>
          </w:p>
        </w:tc>
        <w:tc>
          <w:tcPr>
            <w:tcW w:w="2406" w:type="dxa"/>
          </w:tcPr>
          <w:p w:rsidR="0053505F" w:rsidRPr="00D15AAA" w:rsidRDefault="0053505F" w:rsidP="001253E2">
            <w:pPr>
              <w:cnfStyle w:val="000000100000" w:firstRow="0" w:lastRow="0" w:firstColumn="0" w:lastColumn="0" w:oddVBand="0" w:evenVBand="0" w:oddHBand="1" w:evenHBand="0" w:firstRowFirstColumn="0" w:firstRowLastColumn="0" w:lastRowFirstColumn="0" w:lastRowLastColumn="0"/>
            </w:pPr>
          </w:p>
        </w:tc>
      </w:tr>
    </w:tbl>
    <w:p w:rsidR="00744C2C" w:rsidRDefault="00744C2C" w:rsidP="0053505F"/>
    <w:p w:rsidR="00744C2C" w:rsidRDefault="00744C2C" w:rsidP="0053505F">
      <w:r w:rsidRPr="0023224A">
        <w:rPr>
          <w:noProof/>
          <w:sz w:val="18"/>
          <w:szCs w:val="18"/>
          <w:lang w:eastAsia="da-DK"/>
        </w:rPr>
        <w:drawing>
          <wp:anchor distT="0" distB="0" distL="114300" distR="114300" simplePos="0" relativeHeight="251672576" behindDoc="0" locked="0" layoutInCell="1" allowOverlap="1" wp14:anchorId="483A3470" wp14:editId="0D41FAB0">
            <wp:simplePos x="0" y="0"/>
            <wp:positionH relativeFrom="column">
              <wp:posOffset>13970</wp:posOffset>
            </wp:positionH>
            <wp:positionV relativeFrom="paragraph">
              <wp:posOffset>26670</wp:posOffset>
            </wp:positionV>
            <wp:extent cx="6243320" cy="3755390"/>
            <wp:effectExtent l="0" t="0" r="5080" b="3810"/>
            <wp:wrapSquare wrapText="bothSides"/>
            <wp:docPr id="8"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744C2C" w:rsidRPr="00744C2C" w:rsidRDefault="00744C2C" w:rsidP="00744C2C">
      <w:pPr>
        <w:rPr>
          <w:sz w:val="18"/>
        </w:rPr>
      </w:pPr>
      <w:r w:rsidRPr="00744C2C">
        <w:rPr>
          <w:sz w:val="18"/>
        </w:rPr>
        <w:t>* Gennemsnittet er vægtet i forhold til BNP</w:t>
      </w:r>
    </w:p>
    <w:p w:rsidR="00744C2C" w:rsidRDefault="00744C2C" w:rsidP="00744C2C">
      <w:pPr>
        <w:pStyle w:val="Caption"/>
        <w:rPr>
          <w:b w:val="0"/>
        </w:rPr>
      </w:pPr>
      <w:r w:rsidRPr="007D0BF2">
        <w:t xml:space="preserve">Figur </w:t>
      </w:r>
      <w:r w:rsidR="005D36B1">
        <w:fldChar w:fldCharType="begin"/>
      </w:r>
      <w:r w:rsidR="005D36B1">
        <w:instrText xml:space="preserve"> SEQ Figur \* ARABIC </w:instrText>
      </w:r>
      <w:r w:rsidR="005D36B1">
        <w:fldChar w:fldCharType="separate"/>
      </w:r>
      <w:r w:rsidR="009D1871">
        <w:rPr>
          <w:noProof/>
        </w:rPr>
        <w:t>1</w:t>
      </w:r>
      <w:r w:rsidR="005D36B1">
        <w:rPr>
          <w:noProof/>
        </w:rPr>
        <w:fldChar w:fldCharType="end"/>
      </w:r>
      <w:r w:rsidRPr="007D0BF2">
        <w:t xml:space="preserve">. </w:t>
      </w:r>
      <w:r>
        <w:rPr>
          <w:b w:val="0"/>
        </w:rPr>
        <w:t xml:space="preserve">Det anbefales at bruge Word’s diagramdesign 9 med den indbyggede grønne farveskala. </w:t>
      </w:r>
    </w:p>
    <w:p w:rsidR="00744C2C" w:rsidRPr="00744C2C" w:rsidRDefault="00744C2C" w:rsidP="00744C2C"/>
    <w:sectPr w:rsidR="00744C2C" w:rsidRPr="00744C2C" w:rsidSect="00D15AAA">
      <w:footerReference w:type="even" r:id="rId10"/>
      <w:footerReference w:type="default" r:id="rId11"/>
      <w:footerReference w:type="first" r:id="rId12"/>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B1" w:rsidRDefault="005D36B1" w:rsidP="00E820DB">
      <w:r>
        <w:separator/>
      </w:r>
    </w:p>
  </w:endnote>
  <w:endnote w:type="continuationSeparator" w:id="0">
    <w:p w:rsidR="005D36B1" w:rsidRDefault="005D36B1" w:rsidP="00E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HGｺﾞｼｯｸM">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AAA" w:rsidRDefault="00D15AAA" w:rsidP="0053505F">
    <w:pPr>
      <w:pStyle w:val="Footer"/>
      <w:framePr w:wrap="none"/>
      <w:rPr>
        <w:rStyle w:val="PageNumber"/>
      </w:rPr>
    </w:pPr>
    <w:r>
      <w:rPr>
        <w:rStyle w:val="PageNumber"/>
      </w:rPr>
      <w:fldChar w:fldCharType="begin"/>
    </w:r>
    <w:r>
      <w:rPr>
        <w:rStyle w:val="PageNumber"/>
      </w:rPr>
      <w:instrText xml:space="preserve">PAGE  </w:instrText>
    </w:r>
    <w:r>
      <w:rPr>
        <w:rStyle w:val="PageNumber"/>
      </w:rPr>
      <w:fldChar w:fldCharType="end"/>
    </w:r>
  </w:p>
  <w:p w:rsidR="00D15AAA" w:rsidRDefault="00D15AAA" w:rsidP="0053505F">
    <w:pPr>
      <w:pStyle w:val="Footer"/>
      <w:framePr w:wrap="no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AAA" w:rsidRDefault="00D15AAA" w:rsidP="0053505F">
    <w:pPr>
      <w:pStyle w:val="Footer"/>
      <w:framePr w:wrap="none"/>
      <w:rPr>
        <w:rStyle w:val="PageNumber"/>
      </w:rPr>
    </w:pPr>
    <w:r w:rsidRPr="0053505F">
      <w:rPr>
        <w:rStyle w:val="PageNumber"/>
      </w:rPr>
      <w:fldChar w:fldCharType="begin"/>
    </w:r>
    <w:r w:rsidRPr="0053505F">
      <w:rPr>
        <w:rStyle w:val="PageNumber"/>
      </w:rPr>
      <w:instrText xml:space="preserve">PAGE  </w:instrText>
    </w:r>
    <w:r w:rsidRPr="0053505F">
      <w:rPr>
        <w:rStyle w:val="PageNumber"/>
      </w:rPr>
      <w:fldChar w:fldCharType="separate"/>
    </w:r>
    <w:r w:rsidR="0074449D">
      <w:rPr>
        <w:rStyle w:val="PageNumber"/>
        <w:noProof/>
      </w:rPr>
      <w:t>4</w:t>
    </w:r>
    <w:r w:rsidRPr="0053505F">
      <w:rPr>
        <w:rStyle w:val="PageNumber"/>
      </w:rPr>
      <w:fldChar w:fldCharType="end"/>
    </w:r>
  </w:p>
  <w:p w:rsidR="00217566" w:rsidRPr="0053505F" w:rsidRDefault="00217566" w:rsidP="0053505F">
    <w:pPr>
      <w:pStyle w:val="Footer"/>
      <w:framePr w:wrap="none"/>
      <w:rPr>
        <w:rStyle w:val="PageNumber"/>
      </w:rPr>
    </w:pPr>
  </w:p>
  <w:p w:rsidR="00D15AAA" w:rsidRPr="00C7146B" w:rsidRDefault="00D15AAA" w:rsidP="0053505F">
    <w:pPr>
      <w:pStyle w:val="Footer"/>
      <w:framePr w:wrap="no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6" w:rsidRPr="00217566" w:rsidRDefault="00171128" w:rsidP="00171128">
    <w:pPr>
      <w:pStyle w:val="Footer"/>
      <w:framePr w:wrap="auto" w:vAnchor="margin" w:hAnchor="text" w:xAlign="left" w:yAlign="inline"/>
      <w:spacing w:line="288" w:lineRule="auto"/>
      <w:jc w:val="left"/>
      <w:rPr>
        <w:color w:val="00583C"/>
        <w:sz w:val="20"/>
      </w:rPr>
    </w:pPr>
    <w:r>
      <w:rPr>
        <w:noProof/>
        <w:color w:val="00583C"/>
        <w:sz w:val="20"/>
      </w:rPr>
      <w:drawing>
        <wp:anchor distT="0" distB="0" distL="114300" distR="114300" simplePos="0" relativeHeight="251658240" behindDoc="0" locked="0" layoutInCell="1" allowOverlap="1">
          <wp:simplePos x="0" y="0"/>
          <wp:positionH relativeFrom="margin">
            <wp:posOffset>1444879</wp:posOffset>
          </wp:positionH>
          <wp:positionV relativeFrom="margin">
            <wp:posOffset>8182610</wp:posOffset>
          </wp:positionV>
          <wp:extent cx="3157713" cy="1119886"/>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DK_bred_venstre.png"/>
                  <pic:cNvPicPr/>
                </pic:nvPicPr>
                <pic:blipFill>
                  <a:blip r:embed="rId1"/>
                  <a:stretch>
                    <a:fillRect/>
                  </a:stretch>
                </pic:blipFill>
                <pic:spPr>
                  <a:xfrm>
                    <a:off x="0" y="0"/>
                    <a:ext cx="3157713" cy="111988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B1" w:rsidRDefault="005D36B1" w:rsidP="00E820DB">
      <w:r>
        <w:separator/>
      </w:r>
    </w:p>
  </w:footnote>
  <w:footnote w:type="continuationSeparator" w:id="0">
    <w:p w:rsidR="005D36B1" w:rsidRDefault="005D36B1" w:rsidP="00E8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3D93"/>
    <w:multiLevelType w:val="multilevel"/>
    <w:tmpl w:val="B39ABFB0"/>
    <w:lvl w:ilvl="0">
      <w:start w:val="14"/>
      <w:numFmt w:val="upperLetter"/>
      <w:lvlText w:val="%1"/>
      <w:lvlJc w:val="left"/>
      <w:pPr>
        <w:ind w:left="112" w:hanging="458"/>
      </w:pPr>
    </w:lvl>
    <w:lvl w:ilvl="1">
      <w:start w:val="2"/>
      <w:numFmt w:val="upperLetter"/>
      <w:lvlText w:val="%1.%2."/>
      <w:lvlJc w:val="left"/>
      <w:pPr>
        <w:ind w:left="112" w:hanging="458"/>
      </w:pPr>
      <w:rPr>
        <w:rFonts w:ascii="Calibri" w:eastAsia="Calibri" w:hAnsi="Calibri" w:hint="default"/>
        <w:i/>
        <w:spacing w:val="-2"/>
        <w:w w:val="99"/>
        <w:sz w:val="24"/>
        <w:szCs w:val="24"/>
      </w:rPr>
    </w:lvl>
    <w:lvl w:ilvl="2">
      <w:start w:val="1"/>
      <w:numFmt w:val="bullet"/>
      <w:lvlText w:val=""/>
      <w:lvlJc w:val="left"/>
      <w:pPr>
        <w:ind w:left="833" w:hanging="360"/>
      </w:pPr>
      <w:rPr>
        <w:rFonts w:ascii="Symbol" w:eastAsia="Symbol" w:hAnsi="Symbol" w:hint="default"/>
        <w:w w:val="100"/>
        <w:sz w:val="24"/>
        <w:szCs w:val="24"/>
      </w:rPr>
    </w:lvl>
    <w:lvl w:ilvl="3">
      <w:start w:val="1"/>
      <w:numFmt w:val="bullet"/>
      <w:lvlText w:val="•"/>
      <w:lvlJc w:val="left"/>
      <w:pPr>
        <w:ind w:left="2836" w:hanging="360"/>
      </w:pPr>
    </w:lvl>
    <w:lvl w:ilvl="4">
      <w:start w:val="1"/>
      <w:numFmt w:val="bullet"/>
      <w:lvlText w:val="•"/>
      <w:lvlJc w:val="left"/>
      <w:pPr>
        <w:ind w:left="3835" w:hanging="360"/>
      </w:pPr>
    </w:lvl>
    <w:lvl w:ilvl="5">
      <w:start w:val="1"/>
      <w:numFmt w:val="bullet"/>
      <w:lvlText w:val="•"/>
      <w:lvlJc w:val="left"/>
      <w:pPr>
        <w:ind w:left="4833" w:hanging="360"/>
      </w:pPr>
    </w:lvl>
    <w:lvl w:ilvl="6">
      <w:start w:val="1"/>
      <w:numFmt w:val="bullet"/>
      <w:lvlText w:val="•"/>
      <w:lvlJc w:val="left"/>
      <w:pPr>
        <w:ind w:left="5832" w:hanging="360"/>
      </w:pPr>
    </w:lvl>
    <w:lvl w:ilvl="7">
      <w:start w:val="1"/>
      <w:numFmt w:val="bullet"/>
      <w:lvlText w:val="•"/>
      <w:lvlJc w:val="left"/>
      <w:pPr>
        <w:ind w:left="6830" w:hanging="360"/>
      </w:pPr>
    </w:lvl>
    <w:lvl w:ilvl="8">
      <w:start w:val="1"/>
      <w:numFmt w:val="bullet"/>
      <w:lvlText w:val="•"/>
      <w:lvlJc w:val="left"/>
      <w:pPr>
        <w:ind w:left="7829" w:hanging="360"/>
      </w:pPr>
    </w:lvl>
  </w:abstractNum>
  <w:abstractNum w:abstractNumId="1" w15:restartNumberingAfterBreak="0">
    <w:nsid w:val="24DC4F41"/>
    <w:multiLevelType w:val="hybridMultilevel"/>
    <w:tmpl w:val="EAF2D13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8E7498"/>
    <w:multiLevelType w:val="hybridMultilevel"/>
    <w:tmpl w:val="787CAF1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27219E"/>
    <w:multiLevelType w:val="hybridMultilevel"/>
    <w:tmpl w:val="D4F0742A"/>
    <w:lvl w:ilvl="0" w:tplc="6B66B5A4">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6D0273"/>
    <w:multiLevelType w:val="hybridMultilevel"/>
    <w:tmpl w:val="40706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755B15"/>
    <w:multiLevelType w:val="hybridMultilevel"/>
    <w:tmpl w:val="1794DED4"/>
    <w:lvl w:ilvl="0" w:tplc="E660ADD6">
      <w:start w:val="1"/>
      <w:numFmt w:val="bullet"/>
      <w:lvlText w:val=""/>
      <w:lvlJc w:val="left"/>
      <w:pPr>
        <w:ind w:left="833" w:hanging="360"/>
      </w:pPr>
      <w:rPr>
        <w:rFonts w:ascii="Symbol" w:eastAsia="Symbol" w:hAnsi="Symbol" w:hint="default"/>
        <w:w w:val="100"/>
        <w:sz w:val="24"/>
        <w:szCs w:val="24"/>
      </w:rPr>
    </w:lvl>
    <w:lvl w:ilvl="1" w:tplc="6DFCF248">
      <w:start w:val="1"/>
      <w:numFmt w:val="bullet"/>
      <w:lvlText w:val="•"/>
      <w:lvlJc w:val="left"/>
      <w:pPr>
        <w:ind w:left="1738" w:hanging="360"/>
      </w:pPr>
    </w:lvl>
    <w:lvl w:ilvl="2" w:tplc="35BA871C">
      <w:start w:val="1"/>
      <w:numFmt w:val="bullet"/>
      <w:lvlText w:val="•"/>
      <w:lvlJc w:val="left"/>
      <w:pPr>
        <w:ind w:left="2637" w:hanging="360"/>
      </w:pPr>
    </w:lvl>
    <w:lvl w:ilvl="3" w:tplc="CC28D276">
      <w:start w:val="1"/>
      <w:numFmt w:val="bullet"/>
      <w:lvlText w:val="•"/>
      <w:lvlJc w:val="left"/>
      <w:pPr>
        <w:ind w:left="3535" w:hanging="360"/>
      </w:pPr>
    </w:lvl>
    <w:lvl w:ilvl="4" w:tplc="756EA158">
      <w:start w:val="1"/>
      <w:numFmt w:val="bullet"/>
      <w:lvlText w:val="•"/>
      <w:lvlJc w:val="left"/>
      <w:pPr>
        <w:ind w:left="4434" w:hanging="360"/>
      </w:pPr>
    </w:lvl>
    <w:lvl w:ilvl="5" w:tplc="3030FC36">
      <w:start w:val="1"/>
      <w:numFmt w:val="bullet"/>
      <w:lvlText w:val="•"/>
      <w:lvlJc w:val="left"/>
      <w:pPr>
        <w:ind w:left="5333" w:hanging="360"/>
      </w:pPr>
    </w:lvl>
    <w:lvl w:ilvl="6" w:tplc="68A4E432">
      <w:start w:val="1"/>
      <w:numFmt w:val="bullet"/>
      <w:lvlText w:val="•"/>
      <w:lvlJc w:val="left"/>
      <w:pPr>
        <w:ind w:left="6231" w:hanging="360"/>
      </w:pPr>
    </w:lvl>
    <w:lvl w:ilvl="7" w:tplc="FD2AB8A6">
      <w:start w:val="1"/>
      <w:numFmt w:val="bullet"/>
      <w:lvlText w:val="•"/>
      <w:lvlJc w:val="left"/>
      <w:pPr>
        <w:ind w:left="7130" w:hanging="360"/>
      </w:pPr>
    </w:lvl>
    <w:lvl w:ilvl="8" w:tplc="5A8621C0">
      <w:start w:val="1"/>
      <w:numFmt w:val="bullet"/>
      <w:lvlText w:val="•"/>
      <w:lvlJc w:val="left"/>
      <w:pPr>
        <w:ind w:left="8029" w:hanging="360"/>
      </w:pPr>
    </w:lvl>
  </w:abstractNum>
  <w:abstractNum w:abstractNumId="6" w15:restartNumberingAfterBreak="0">
    <w:nsid w:val="5522511B"/>
    <w:multiLevelType w:val="hybridMultilevel"/>
    <w:tmpl w:val="FF5AD1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AE9421A"/>
    <w:multiLevelType w:val="hybridMultilevel"/>
    <w:tmpl w:val="2E70ED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DB8005D"/>
    <w:multiLevelType w:val="hybridMultilevel"/>
    <w:tmpl w:val="22405F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DC7310F"/>
    <w:multiLevelType w:val="hybridMultilevel"/>
    <w:tmpl w:val="709C7E4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95C097F"/>
    <w:multiLevelType w:val="hybridMultilevel"/>
    <w:tmpl w:val="46FA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lvlOverride w:ilvl="0">
      <w:startOverride w:val="14"/>
    </w:lvlOverride>
    <w:lvlOverride w:ilvl="1">
      <w:startOverride w:val="2"/>
    </w:lvlOverride>
    <w:lvlOverride w:ilvl="2"/>
    <w:lvlOverride w:ilvl="3"/>
    <w:lvlOverride w:ilvl="4"/>
    <w:lvlOverride w:ilvl="5"/>
    <w:lvlOverride w:ilvl="6"/>
    <w:lvlOverride w:ilvl="7"/>
    <w:lvlOverride w:ilvl="8"/>
  </w:num>
  <w:num w:numId="6">
    <w:abstractNumId w:val="9"/>
  </w:num>
  <w:num w:numId="7">
    <w:abstractNumId w:val="4"/>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71"/>
    <w:rsid w:val="00023165"/>
    <w:rsid w:val="000271B6"/>
    <w:rsid w:val="0003175C"/>
    <w:rsid w:val="00073234"/>
    <w:rsid w:val="000769D4"/>
    <w:rsid w:val="000B00B3"/>
    <w:rsid w:val="000D2C5B"/>
    <w:rsid w:val="000D3CD3"/>
    <w:rsid w:val="000E394F"/>
    <w:rsid w:val="001253E2"/>
    <w:rsid w:val="00145809"/>
    <w:rsid w:val="00171128"/>
    <w:rsid w:val="001819D3"/>
    <w:rsid w:val="001B0656"/>
    <w:rsid w:val="001D5147"/>
    <w:rsid w:val="00217566"/>
    <w:rsid w:val="0023100F"/>
    <w:rsid w:val="002458E7"/>
    <w:rsid w:val="002610C6"/>
    <w:rsid w:val="00295A13"/>
    <w:rsid w:val="002F00D2"/>
    <w:rsid w:val="00310A86"/>
    <w:rsid w:val="00317CB7"/>
    <w:rsid w:val="003268B6"/>
    <w:rsid w:val="003370FD"/>
    <w:rsid w:val="00347930"/>
    <w:rsid w:val="0037565B"/>
    <w:rsid w:val="00376ACF"/>
    <w:rsid w:val="00377DDE"/>
    <w:rsid w:val="003801D6"/>
    <w:rsid w:val="003A2117"/>
    <w:rsid w:val="003A43DE"/>
    <w:rsid w:val="003A59CE"/>
    <w:rsid w:val="003B5088"/>
    <w:rsid w:val="003E1CCC"/>
    <w:rsid w:val="003E3077"/>
    <w:rsid w:val="003E353E"/>
    <w:rsid w:val="003F6312"/>
    <w:rsid w:val="0040355E"/>
    <w:rsid w:val="00440243"/>
    <w:rsid w:val="00451BF4"/>
    <w:rsid w:val="00462709"/>
    <w:rsid w:val="00464B3D"/>
    <w:rsid w:val="004B6366"/>
    <w:rsid w:val="004D0C1B"/>
    <w:rsid w:val="004F16E8"/>
    <w:rsid w:val="00502C5C"/>
    <w:rsid w:val="0053505F"/>
    <w:rsid w:val="00544A91"/>
    <w:rsid w:val="00547F2B"/>
    <w:rsid w:val="00580087"/>
    <w:rsid w:val="00583042"/>
    <w:rsid w:val="005A17DA"/>
    <w:rsid w:val="005A5E58"/>
    <w:rsid w:val="005C7E56"/>
    <w:rsid w:val="005D1CB1"/>
    <w:rsid w:val="005D36B1"/>
    <w:rsid w:val="006371A4"/>
    <w:rsid w:val="00666618"/>
    <w:rsid w:val="00687F40"/>
    <w:rsid w:val="006E5DA6"/>
    <w:rsid w:val="0074449D"/>
    <w:rsid w:val="00744C2C"/>
    <w:rsid w:val="007527C6"/>
    <w:rsid w:val="00755761"/>
    <w:rsid w:val="007721CA"/>
    <w:rsid w:val="007B5E5B"/>
    <w:rsid w:val="007D0BF2"/>
    <w:rsid w:val="007E765D"/>
    <w:rsid w:val="00821AE3"/>
    <w:rsid w:val="008265FD"/>
    <w:rsid w:val="0085580E"/>
    <w:rsid w:val="008631B4"/>
    <w:rsid w:val="008A50BA"/>
    <w:rsid w:val="008B1AC9"/>
    <w:rsid w:val="008F2B70"/>
    <w:rsid w:val="008F4FC2"/>
    <w:rsid w:val="008F7EC6"/>
    <w:rsid w:val="009275EE"/>
    <w:rsid w:val="00944862"/>
    <w:rsid w:val="0095351B"/>
    <w:rsid w:val="0096468B"/>
    <w:rsid w:val="00980A8E"/>
    <w:rsid w:val="00996A17"/>
    <w:rsid w:val="009C58BE"/>
    <w:rsid w:val="009C7F34"/>
    <w:rsid w:val="009D1871"/>
    <w:rsid w:val="009F4EC0"/>
    <w:rsid w:val="00A02FAD"/>
    <w:rsid w:val="00A10A94"/>
    <w:rsid w:val="00A31D9A"/>
    <w:rsid w:val="00A326BC"/>
    <w:rsid w:val="00A32C60"/>
    <w:rsid w:val="00A4112B"/>
    <w:rsid w:val="00A471AE"/>
    <w:rsid w:val="00A667B9"/>
    <w:rsid w:val="00AA72BE"/>
    <w:rsid w:val="00AF2847"/>
    <w:rsid w:val="00B07B50"/>
    <w:rsid w:val="00B10189"/>
    <w:rsid w:val="00B107F4"/>
    <w:rsid w:val="00B209BD"/>
    <w:rsid w:val="00B41418"/>
    <w:rsid w:val="00B664C8"/>
    <w:rsid w:val="00B87982"/>
    <w:rsid w:val="00BC667C"/>
    <w:rsid w:val="00BD49F8"/>
    <w:rsid w:val="00BF2B08"/>
    <w:rsid w:val="00BF401B"/>
    <w:rsid w:val="00C55C07"/>
    <w:rsid w:val="00C677AB"/>
    <w:rsid w:val="00C7146B"/>
    <w:rsid w:val="00C80DEB"/>
    <w:rsid w:val="00C937CF"/>
    <w:rsid w:val="00CC28AC"/>
    <w:rsid w:val="00CE34C4"/>
    <w:rsid w:val="00CE5E8C"/>
    <w:rsid w:val="00D15AAA"/>
    <w:rsid w:val="00D22A50"/>
    <w:rsid w:val="00D328CB"/>
    <w:rsid w:val="00D341F7"/>
    <w:rsid w:val="00D50D1C"/>
    <w:rsid w:val="00DA4977"/>
    <w:rsid w:val="00DD7985"/>
    <w:rsid w:val="00DE520E"/>
    <w:rsid w:val="00E3286D"/>
    <w:rsid w:val="00E34F38"/>
    <w:rsid w:val="00E820DB"/>
    <w:rsid w:val="00ED4EAA"/>
    <w:rsid w:val="00F12D3A"/>
    <w:rsid w:val="00F37300"/>
    <w:rsid w:val="00F51D74"/>
    <w:rsid w:val="00F64607"/>
    <w:rsid w:val="00F71865"/>
    <w:rsid w:val="00F71F51"/>
    <w:rsid w:val="00F73B16"/>
    <w:rsid w:val="00F96CDC"/>
    <w:rsid w:val="00FC128B"/>
    <w:rsid w:val="00FC211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97156"/>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1"/>
        <w:szCs w:val="21"/>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61"/>
    <w:pPr>
      <w:spacing w:line="276" w:lineRule="auto"/>
    </w:pPr>
  </w:style>
  <w:style w:type="paragraph" w:styleId="Heading1">
    <w:name w:val="heading 1"/>
    <w:basedOn w:val="Normal"/>
    <w:next w:val="Normal"/>
    <w:link w:val="Heading1Char"/>
    <w:uiPriority w:val="9"/>
    <w:qFormat/>
    <w:rsid w:val="003A59CE"/>
    <w:pPr>
      <w:spacing w:before="360" w:after="240"/>
      <w:outlineLvl w:val="0"/>
    </w:pPr>
    <w:rPr>
      <w:rFonts w:ascii="Open Sans Extrabold" w:hAnsi="Open Sans Extrabold" w:cs="Open Sans Extrabold"/>
      <w:b/>
      <w:bCs/>
      <w:noProof/>
      <w:color w:val="005842"/>
      <w:spacing w:val="-4"/>
      <w:sz w:val="36"/>
      <w:lang w:eastAsia="da-DK"/>
    </w:rPr>
  </w:style>
  <w:style w:type="paragraph" w:styleId="Heading2">
    <w:name w:val="heading 2"/>
    <w:basedOn w:val="Normal"/>
    <w:next w:val="Normal"/>
    <w:link w:val="Heading2Char"/>
    <w:uiPriority w:val="9"/>
    <w:unhideWhenUsed/>
    <w:qFormat/>
    <w:rsid w:val="003A59CE"/>
    <w:pPr>
      <w:spacing w:before="360" w:after="200"/>
      <w:outlineLvl w:val="1"/>
    </w:pPr>
    <w:rPr>
      <w:b/>
      <w:bCs/>
      <w:color w:val="00583C"/>
      <w:sz w:val="28"/>
    </w:rPr>
  </w:style>
  <w:style w:type="paragraph" w:styleId="Heading3">
    <w:name w:val="heading 3"/>
    <w:basedOn w:val="Normal"/>
    <w:next w:val="Normal"/>
    <w:link w:val="Heading3Char"/>
    <w:uiPriority w:val="9"/>
    <w:unhideWhenUsed/>
    <w:qFormat/>
    <w:rsid w:val="00D15AAA"/>
    <w:pPr>
      <w:spacing w:after="60"/>
      <w:outlineLvl w:val="2"/>
    </w:pPr>
    <w:rPr>
      <w:b/>
      <w:sz w:val="22"/>
    </w:rPr>
  </w:style>
  <w:style w:type="paragraph" w:styleId="Heading4">
    <w:name w:val="heading 4"/>
    <w:basedOn w:val="Normal"/>
    <w:next w:val="Normal"/>
    <w:link w:val="Heading4Char"/>
    <w:uiPriority w:val="9"/>
    <w:unhideWhenUsed/>
    <w:qFormat/>
    <w:rsid w:val="00D15AAA"/>
    <w:pPr>
      <w:outlineLvl w:val="3"/>
    </w:pPr>
    <w:rPr>
      <w:i/>
    </w:rPr>
  </w:style>
  <w:style w:type="paragraph" w:styleId="Heading5">
    <w:name w:val="heading 5"/>
    <w:basedOn w:val="Heading4"/>
    <w:next w:val="Normal"/>
    <w:link w:val="Heading5Char"/>
    <w:uiPriority w:val="9"/>
    <w:unhideWhenUsed/>
    <w:rsid w:val="00D15AAA"/>
    <w:pPr>
      <w:outlineLvl w:val="4"/>
    </w:pPr>
  </w:style>
  <w:style w:type="paragraph" w:styleId="Heading6">
    <w:name w:val="heading 6"/>
    <w:basedOn w:val="Normal"/>
    <w:next w:val="Normal"/>
    <w:link w:val="Heading6Char"/>
    <w:uiPriority w:val="9"/>
    <w:unhideWhenUsed/>
    <w:qFormat/>
    <w:rsid w:val="007E765D"/>
    <w:pPr>
      <w:keepNext/>
      <w:keepLines/>
      <w:spacing w:before="40"/>
      <w:outlineLvl w:val="5"/>
    </w:pPr>
    <w:rPr>
      <w:rFonts w:eastAsiaTheme="majorEastAsia"/>
    </w:rPr>
  </w:style>
  <w:style w:type="paragraph" w:styleId="Heading7">
    <w:name w:val="heading 7"/>
    <w:basedOn w:val="Normal"/>
    <w:next w:val="Normal"/>
    <w:link w:val="Heading7Char"/>
    <w:uiPriority w:val="9"/>
    <w:unhideWhenUsed/>
    <w:qFormat/>
    <w:rsid w:val="007E765D"/>
    <w:pPr>
      <w:keepNext/>
      <w:keepLines/>
      <w:spacing w:before="40"/>
      <w:outlineLvl w:val="6"/>
    </w:pPr>
    <w:rPr>
      <w:rFonts w:eastAsiaTheme="majorEastAsia" w:cstheme="majorBidi"/>
      <w:i/>
      <w:iCs/>
      <w:color w:val="0058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CE"/>
    <w:rPr>
      <w:rFonts w:ascii="Open Sans Extrabold" w:hAnsi="Open Sans Extrabold" w:cs="Open Sans Extrabold"/>
      <w:b/>
      <w:bCs/>
      <w:noProof/>
      <w:color w:val="005842"/>
      <w:spacing w:val="-4"/>
      <w:sz w:val="36"/>
      <w:lang w:eastAsia="da-DK"/>
    </w:rPr>
  </w:style>
  <w:style w:type="character" w:customStyle="1" w:styleId="Heading2Char">
    <w:name w:val="Heading 2 Char"/>
    <w:basedOn w:val="DefaultParagraphFont"/>
    <w:link w:val="Heading2"/>
    <w:uiPriority w:val="9"/>
    <w:rsid w:val="003A59CE"/>
    <w:rPr>
      <w:b/>
      <w:bCs/>
      <w:color w:val="00583C"/>
      <w:sz w:val="28"/>
    </w:rPr>
  </w:style>
  <w:style w:type="character" w:customStyle="1" w:styleId="Heading3Char">
    <w:name w:val="Heading 3 Char"/>
    <w:basedOn w:val="DefaultParagraphFont"/>
    <w:link w:val="Heading3"/>
    <w:uiPriority w:val="9"/>
    <w:rsid w:val="00D15AAA"/>
    <w:rPr>
      <w:rFonts w:ascii="Open Sans" w:hAnsi="Open Sans"/>
      <w:b/>
      <w:sz w:val="22"/>
      <w:szCs w:val="22"/>
    </w:rPr>
  </w:style>
  <w:style w:type="character" w:customStyle="1" w:styleId="Heading4Char">
    <w:name w:val="Heading 4 Char"/>
    <w:basedOn w:val="DefaultParagraphFont"/>
    <w:link w:val="Heading4"/>
    <w:uiPriority w:val="9"/>
    <w:rsid w:val="00D15AAA"/>
    <w:rPr>
      <w:rFonts w:ascii="Open Sans" w:hAnsi="Open Sans"/>
      <w:i/>
      <w:sz w:val="21"/>
      <w:szCs w:val="22"/>
    </w:rPr>
  </w:style>
  <w:style w:type="character" w:customStyle="1" w:styleId="Heading5Char">
    <w:name w:val="Heading 5 Char"/>
    <w:basedOn w:val="DefaultParagraphFont"/>
    <w:link w:val="Heading5"/>
    <w:uiPriority w:val="9"/>
    <w:rsid w:val="00D15AAA"/>
    <w:rPr>
      <w:rFonts w:ascii="Open Sans" w:hAnsi="Open Sans"/>
      <w:i/>
      <w:sz w:val="21"/>
      <w:szCs w:val="22"/>
    </w:rPr>
  </w:style>
  <w:style w:type="character" w:customStyle="1" w:styleId="Heading6Char">
    <w:name w:val="Heading 6 Char"/>
    <w:basedOn w:val="DefaultParagraphFont"/>
    <w:link w:val="Heading6"/>
    <w:uiPriority w:val="9"/>
    <w:rsid w:val="007E765D"/>
    <w:rPr>
      <w:rFonts w:ascii="Open Sans" w:eastAsiaTheme="majorEastAsia" w:hAnsi="Open Sans"/>
      <w:sz w:val="21"/>
      <w:szCs w:val="21"/>
    </w:rPr>
  </w:style>
  <w:style w:type="character" w:customStyle="1" w:styleId="Heading7Char">
    <w:name w:val="Heading 7 Char"/>
    <w:basedOn w:val="DefaultParagraphFont"/>
    <w:link w:val="Heading7"/>
    <w:uiPriority w:val="9"/>
    <w:rsid w:val="007E765D"/>
    <w:rPr>
      <w:rFonts w:ascii="Open Sans" w:eastAsiaTheme="majorEastAsia" w:hAnsi="Open Sans" w:cstheme="majorBidi"/>
      <w:i/>
      <w:iCs/>
      <w:color w:val="005842"/>
      <w:sz w:val="21"/>
      <w:szCs w:val="22"/>
    </w:rPr>
  </w:style>
  <w:style w:type="paragraph" w:styleId="ListParagraph">
    <w:name w:val="List Paragraph"/>
    <w:basedOn w:val="Normal"/>
    <w:uiPriority w:val="34"/>
    <w:qFormat/>
    <w:rsid w:val="00DE520E"/>
    <w:pPr>
      <w:ind w:left="720"/>
      <w:contextualSpacing/>
    </w:pPr>
  </w:style>
  <w:style w:type="paragraph" w:styleId="Header">
    <w:name w:val="header"/>
    <w:basedOn w:val="Normal"/>
    <w:link w:val="HeaderChar"/>
    <w:uiPriority w:val="99"/>
    <w:unhideWhenUsed/>
    <w:rsid w:val="00C7146B"/>
    <w:pPr>
      <w:tabs>
        <w:tab w:val="center" w:pos="4819"/>
        <w:tab w:val="right" w:pos="9638"/>
      </w:tabs>
    </w:pPr>
  </w:style>
  <w:style w:type="character" w:customStyle="1" w:styleId="HeaderChar">
    <w:name w:val="Header Char"/>
    <w:basedOn w:val="DefaultParagraphFont"/>
    <w:link w:val="Header"/>
    <w:uiPriority w:val="99"/>
    <w:rsid w:val="00C7146B"/>
  </w:style>
  <w:style w:type="paragraph" w:styleId="Footer">
    <w:name w:val="footer"/>
    <w:basedOn w:val="FootnoteText"/>
    <w:link w:val="FooterChar"/>
    <w:uiPriority w:val="99"/>
    <w:unhideWhenUsed/>
    <w:rsid w:val="0053505F"/>
    <w:pPr>
      <w:framePr w:wrap="none" w:vAnchor="text" w:hAnchor="margin" w:xAlign="center" w:y="1"/>
      <w:jc w:val="center"/>
    </w:pPr>
  </w:style>
  <w:style w:type="paragraph" w:styleId="FootnoteText">
    <w:name w:val="footnote text"/>
    <w:basedOn w:val="Normal"/>
    <w:link w:val="FootnoteTextChar"/>
    <w:uiPriority w:val="99"/>
    <w:unhideWhenUsed/>
    <w:rsid w:val="00D15AAA"/>
    <w:rPr>
      <w:sz w:val="18"/>
    </w:rPr>
  </w:style>
  <w:style w:type="character" w:customStyle="1" w:styleId="FootnoteTextChar">
    <w:name w:val="Footnote Text Char"/>
    <w:basedOn w:val="DefaultParagraphFont"/>
    <w:link w:val="FootnoteText"/>
    <w:uiPriority w:val="99"/>
    <w:rsid w:val="00D15AAA"/>
    <w:rPr>
      <w:rFonts w:ascii="Open Sans" w:hAnsi="Open Sans"/>
      <w:sz w:val="18"/>
      <w:szCs w:val="22"/>
    </w:rPr>
  </w:style>
  <w:style w:type="character" w:customStyle="1" w:styleId="FooterChar">
    <w:name w:val="Footer Char"/>
    <w:basedOn w:val="DefaultParagraphFont"/>
    <w:link w:val="Footer"/>
    <w:uiPriority w:val="99"/>
    <w:rsid w:val="0053505F"/>
    <w:rPr>
      <w:rFonts w:ascii="Open Sans" w:hAnsi="Open Sans"/>
      <w:sz w:val="18"/>
      <w:szCs w:val="22"/>
    </w:rPr>
  </w:style>
  <w:style w:type="character" w:styleId="FootnoteReference">
    <w:name w:val="footnote reference"/>
    <w:basedOn w:val="DefaultParagraphFont"/>
    <w:uiPriority w:val="99"/>
    <w:unhideWhenUsed/>
    <w:rsid w:val="005C7E56"/>
    <w:rPr>
      <w:vertAlign w:val="superscript"/>
    </w:rPr>
  </w:style>
  <w:style w:type="character" w:styleId="Hyperlink">
    <w:name w:val="Hyperlink"/>
    <w:aliases w:val="Link"/>
    <w:uiPriority w:val="99"/>
    <w:unhideWhenUsed/>
    <w:rsid w:val="003A59CE"/>
    <w:rPr>
      <w:color w:val="00583C"/>
      <w:u w:val="single"/>
    </w:rPr>
  </w:style>
  <w:style w:type="paragraph" w:styleId="Title">
    <w:name w:val="Title"/>
    <w:basedOn w:val="Normal"/>
    <w:next w:val="Normal"/>
    <w:link w:val="TitleChar"/>
    <w:uiPriority w:val="10"/>
    <w:qFormat/>
    <w:rsid w:val="0074449D"/>
    <w:pPr>
      <w:spacing w:line="240" w:lineRule="auto"/>
    </w:pPr>
    <w:rPr>
      <w:rFonts w:ascii="Open Sans Extrabold" w:hAnsi="Open Sans Extrabold"/>
      <w:bCs/>
      <w:color w:val="005842"/>
      <w:spacing w:val="-8"/>
      <w:sz w:val="104"/>
      <w:szCs w:val="104"/>
    </w:rPr>
  </w:style>
  <w:style w:type="character" w:customStyle="1" w:styleId="TitleChar">
    <w:name w:val="Title Char"/>
    <w:basedOn w:val="DefaultParagraphFont"/>
    <w:link w:val="Title"/>
    <w:uiPriority w:val="10"/>
    <w:rsid w:val="0074449D"/>
    <w:rPr>
      <w:rFonts w:ascii="Open Sans Extrabold" w:hAnsi="Open Sans Extrabold"/>
      <w:bCs/>
      <w:color w:val="005842"/>
      <w:spacing w:val="-8"/>
      <w:sz w:val="104"/>
      <w:szCs w:val="104"/>
    </w:rPr>
  </w:style>
  <w:style w:type="paragraph" w:styleId="BodyText">
    <w:name w:val="Body Text"/>
    <w:basedOn w:val="Normal"/>
    <w:link w:val="BodyTextChar"/>
    <w:uiPriority w:val="99"/>
    <w:semiHidden/>
    <w:unhideWhenUsed/>
    <w:rsid w:val="00F64607"/>
    <w:pPr>
      <w:spacing w:after="120"/>
    </w:pPr>
  </w:style>
  <w:style w:type="character" w:customStyle="1" w:styleId="BodyTextChar">
    <w:name w:val="Body Text Char"/>
    <w:basedOn w:val="DefaultParagraphFont"/>
    <w:link w:val="BodyText"/>
    <w:uiPriority w:val="99"/>
    <w:semiHidden/>
    <w:rsid w:val="00F64607"/>
  </w:style>
  <w:style w:type="paragraph" w:customStyle="1" w:styleId="TableParagraph">
    <w:name w:val="Table Paragraph"/>
    <w:basedOn w:val="NoSpacing"/>
    <w:uiPriority w:val="1"/>
    <w:qFormat/>
    <w:rsid w:val="007D0BF2"/>
    <w:rPr>
      <w:bCs/>
      <w:color w:val="000000" w:themeColor="text1"/>
      <w:spacing w:val="-8"/>
      <w:sz w:val="18"/>
    </w:rPr>
  </w:style>
  <w:style w:type="table" w:styleId="TableGrid">
    <w:name w:val="Table Grid"/>
    <w:basedOn w:val="TableNormal"/>
    <w:uiPriority w:val="39"/>
    <w:rsid w:val="00B07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7B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uiPriority w:val="20"/>
    <w:qFormat/>
    <w:rsid w:val="00755761"/>
    <w:rPr>
      <w:i/>
    </w:rPr>
  </w:style>
  <w:style w:type="paragraph" w:styleId="NoSpacing">
    <w:name w:val="No Spacing"/>
    <w:uiPriority w:val="1"/>
    <w:qFormat/>
    <w:rsid w:val="00E820DB"/>
    <w:rPr>
      <w:szCs w:val="22"/>
    </w:rPr>
  </w:style>
  <w:style w:type="character" w:styleId="SubtleEmphasis">
    <w:name w:val="Subtle Emphasis"/>
    <w:basedOn w:val="DefaultParagraphFont"/>
    <w:uiPriority w:val="19"/>
    <w:qFormat/>
    <w:rsid w:val="007B5E5B"/>
    <w:rPr>
      <w:i/>
      <w:iCs/>
      <w:color w:val="404040" w:themeColor="text1" w:themeTint="BF"/>
    </w:rPr>
  </w:style>
  <w:style w:type="character" w:styleId="Strong">
    <w:name w:val="Strong"/>
    <w:basedOn w:val="DefaultParagraphFont"/>
    <w:uiPriority w:val="22"/>
    <w:qFormat/>
    <w:rsid w:val="007B5E5B"/>
    <w:rPr>
      <w:b/>
      <w:bCs/>
    </w:rPr>
  </w:style>
  <w:style w:type="character" w:styleId="PageNumber">
    <w:name w:val="page number"/>
    <w:basedOn w:val="DefaultParagraphFont"/>
    <w:uiPriority w:val="99"/>
    <w:semiHidden/>
    <w:unhideWhenUsed/>
    <w:rsid w:val="00D15AAA"/>
  </w:style>
  <w:style w:type="paragraph" w:styleId="TOC1">
    <w:name w:val="toc 1"/>
    <w:basedOn w:val="Normal"/>
    <w:next w:val="Normal"/>
    <w:autoRedefine/>
    <w:uiPriority w:val="39"/>
    <w:unhideWhenUsed/>
    <w:rsid w:val="00821AE3"/>
    <w:pPr>
      <w:tabs>
        <w:tab w:val="right" w:leader="dot" w:pos="9622"/>
      </w:tabs>
      <w:spacing w:before="120"/>
    </w:pPr>
    <w:rPr>
      <w:noProof/>
      <w:sz w:val="22"/>
    </w:rPr>
  </w:style>
  <w:style w:type="paragraph" w:styleId="TOC2">
    <w:name w:val="toc 2"/>
    <w:basedOn w:val="TOC1"/>
    <w:next w:val="Normal"/>
    <w:autoRedefine/>
    <w:uiPriority w:val="39"/>
    <w:unhideWhenUsed/>
    <w:rsid w:val="00C55C07"/>
    <w:pPr>
      <w:ind w:left="227"/>
    </w:pPr>
    <w:rPr>
      <w:sz w:val="21"/>
    </w:rPr>
  </w:style>
  <w:style w:type="paragraph" w:styleId="TOC3">
    <w:name w:val="toc 3"/>
    <w:basedOn w:val="TOC2"/>
    <w:next w:val="Normal"/>
    <w:autoRedefine/>
    <w:uiPriority w:val="39"/>
    <w:unhideWhenUsed/>
    <w:rsid w:val="00D15AAA"/>
  </w:style>
  <w:style w:type="character" w:styleId="FollowedHyperlink">
    <w:name w:val="FollowedHyperlink"/>
    <w:basedOn w:val="DefaultParagraphFont"/>
    <w:uiPriority w:val="99"/>
    <w:semiHidden/>
    <w:unhideWhenUsed/>
    <w:rsid w:val="00B41418"/>
    <w:rPr>
      <w:color w:val="954F72" w:themeColor="followedHyperlink"/>
      <w:u w:val="single"/>
    </w:rPr>
  </w:style>
  <w:style w:type="paragraph" w:styleId="BalloonText">
    <w:name w:val="Balloon Text"/>
    <w:basedOn w:val="Normal"/>
    <w:link w:val="BalloonTextChar"/>
    <w:uiPriority w:val="99"/>
    <w:semiHidden/>
    <w:unhideWhenUsed/>
    <w:rsid w:val="003756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65B"/>
    <w:rPr>
      <w:rFonts w:ascii="Times New Roman" w:hAnsi="Times New Roman" w:cs="Times New Roman"/>
      <w:sz w:val="18"/>
      <w:szCs w:val="18"/>
    </w:rPr>
  </w:style>
  <w:style w:type="table" w:styleId="PlainTable1">
    <w:name w:val="Plain Table 1"/>
    <w:basedOn w:val="TableNormal"/>
    <w:uiPriority w:val="41"/>
    <w:rsid w:val="007557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557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rsid w:val="0075576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5576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7557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7557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6">
    <w:name w:val="Grid Table 6 Colorful Accent 6"/>
    <w:basedOn w:val="TableNormal"/>
    <w:uiPriority w:val="51"/>
    <w:rsid w:val="0075576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5576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ubtitle">
    <w:name w:val="Subtitle"/>
    <w:basedOn w:val="Normal"/>
    <w:next w:val="Normal"/>
    <w:link w:val="SubtitleChar"/>
    <w:uiPriority w:val="11"/>
    <w:qFormat/>
    <w:rsid w:val="00755761"/>
    <w:rPr>
      <w:color w:val="7F7F7F" w:themeColor="text1" w:themeTint="80"/>
      <w:sz w:val="44"/>
    </w:rPr>
  </w:style>
  <w:style w:type="character" w:customStyle="1" w:styleId="SubtitleChar">
    <w:name w:val="Subtitle Char"/>
    <w:basedOn w:val="DefaultParagraphFont"/>
    <w:link w:val="Subtitle"/>
    <w:uiPriority w:val="11"/>
    <w:rsid w:val="00755761"/>
    <w:rPr>
      <w:rFonts w:ascii="Open Sans" w:hAnsi="Open Sans"/>
      <w:color w:val="7F7F7F" w:themeColor="text1" w:themeTint="80"/>
      <w:sz w:val="44"/>
      <w:szCs w:val="22"/>
    </w:rPr>
  </w:style>
  <w:style w:type="character" w:styleId="IntenseEmphasis">
    <w:name w:val="Intense Emphasis"/>
    <w:uiPriority w:val="21"/>
    <w:qFormat/>
    <w:rsid w:val="00755761"/>
    <w:rPr>
      <w:b/>
      <w:i/>
      <w:color w:val="005842"/>
    </w:rPr>
  </w:style>
  <w:style w:type="paragraph" w:styleId="IntenseQuote">
    <w:name w:val="Intense Quote"/>
    <w:basedOn w:val="Heading1"/>
    <w:next w:val="Normal"/>
    <w:link w:val="IntenseQuoteChar"/>
    <w:uiPriority w:val="30"/>
    <w:qFormat/>
    <w:rsid w:val="003A59CE"/>
    <w:pPr>
      <w:spacing w:before="240" w:line="240" w:lineRule="auto"/>
      <w:jc w:val="center"/>
    </w:pPr>
    <w:rPr>
      <w:b w:val="0"/>
      <w:color w:val="808080" w:themeColor="background1" w:themeShade="80"/>
      <w:sz w:val="40"/>
    </w:rPr>
  </w:style>
  <w:style w:type="character" w:customStyle="1" w:styleId="IntenseQuoteChar">
    <w:name w:val="Intense Quote Char"/>
    <w:basedOn w:val="DefaultParagraphFont"/>
    <w:link w:val="IntenseQuote"/>
    <w:uiPriority w:val="30"/>
    <w:rsid w:val="003A59CE"/>
    <w:rPr>
      <w:rFonts w:ascii="Open Sans Extrabold" w:hAnsi="Open Sans Extrabold" w:cs="Open Sans Extrabold"/>
      <w:bCs/>
      <w:noProof/>
      <w:color w:val="808080" w:themeColor="background1" w:themeShade="80"/>
      <w:spacing w:val="-4"/>
      <w:sz w:val="40"/>
      <w:lang w:eastAsia="da-DK"/>
    </w:rPr>
  </w:style>
  <w:style w:type="table" w:styleId="ListTable6Colorful-Accent6">
    <w:name w:val="List Table 6 Colorful Accent 6"/>
    <w:basedOn w:val="TableNormal"/>
    <w:uiPriority w:val="51"/>
    <w:rsid w:val="0053505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3">
    <w:name w:val="List Table 6 Colorful Accent 3"/>
    <w:basedOn w:val="TableNormal"/>
    <w:uiPriority w:val="51"/>
    <w:rsid w:val="0053505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7D0BF2"/>
    <w:pPr>
      <w:spacing w:line="240" w:lineRule="auto"/>
    </w:pPr>
    <w:rPr>
      <w:rFonts w:eastAsia="Calibri" w:cs="Times New Roman"/>
      <w:b/>
      <w:bCs/>
      <w:sz w:val="20"/>
      <w:szCs w:val="20"/>
    </w:rPr>
  </w:style>
  <w:style w:type="table" w:styleId="ListTable6Colorful">
    <w:name w:val="List Table 6 Colorful"/>
    <w:basedOn w:val="TableNormal"/>
    <w:uiPriority w:val="51"/>
    <w:rsid w:val="007D0BF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3">
    <w:name w:val="List Table 7 Colorful Accent 3"/>
    <w:basedOn w:val="TableNormal"/>
    <w:uiPriority w:val="52"/>
    <w:rsid w:val="007D0BF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7D0BF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sidedato">
    <w:name w:val="Forside dato"/>
    <w:basedOn w:val="Normal"/>
    <w:qFormat/>
    <w:rsid w:val="002458E7"/>
    <w:rPr>
      <w:color w:val="005842"/>
      <w:sz w:val="40"/>
    </w:rPr>
  </w:style>
  <w:style w:type="paragraph" w:styleId="TOC4">
    <w:name w:val="toc 4"/>
    <w:basedOn w:val="Normal"/>
    <w:next w:val="Normal"/>
    <w:autoRedefine/>
    <w:uiPriority w:val="39"/>
    <w:unhideWhenUsed/>
    <w:rsid w:val="00821AE3"/>
    <w:pPr>
      <w:ind w:left="630"/>
    </w:pPr>
  </w:style>
  <w:style w:type="paragraph" w:styleId="TOC5">
    <w:name w:val="toc 5"/>
    <w:basedOn w:val="Normal"/>
    <w:next w:val="Normal"/>
    <w:autoRedefine/>
    <w:uiPriority w:val="39"/>
    <w:unhideWhenUsed/>
    <w:rsid w:val="00821AE3"/>
    <w:pPr>
      <w:ind w:left="840"/>
    </w:pPr>
  </w:style>
  <w:style w:type="paragraph" w:styleId="TOC6">
    <w:name w:val="toc 6"/>
    <w:basedOn w:val="Normal"/>
    <w:next w:val="Normal"/>
    <w:autoRedefine/>
    <w:uiPriority w:val="39"/>
    <w:unhideWhenUsed/>
    <w:rsid w:val="00821AE3"/>
    <w:pPr>
      <w:ind w:left="1050"/>
    </w:pPr>
  </w:style>
  <w:style w:type="paragraph" w:styleId="TOC7">
    <w:name w:val="toc 7"/>
    <w:basedOn w:val="Normal"/>
    <w:next w:val="Normal"/>
    <w:autoRedefine/>
    <w:uiPriority w:val="39"/>
    <w:unhideWhenUsed/>
    <w:rsid w:val="00821AE3"/>
    <w:pPr>
      <w:ind w:left="1260"/>
    </w:pPr>
  </w:style>
  <w:style w:type="paragraph" w:styleId="TOC8">
    <w:name w:val="toc 8"/>
    <w:basedOn w:val="Normal"/>
    <w:next w:val="Normal"/>
    <w:autoRedefine/>
    <w:uiPriority w:val="39"/>
    <w:unhideWhenUsed/>
    <w:rsid w:val="00821AE3"/>
    <w:pPr>
      <w:ind w:left="1470"/>
    </w:pPr>
  </w:style>
  <w:style w:type="paragraph" w:styleId="TOC9">
    <w:name w:val="toc 9"/>
    <w:basedOn w:val="Normal"/>
    <w:next w:val="Normal"/>
    <w:autoRedefine/>
    <w:uiPriority w:val="39"/>
    <w:unhideWhenUsed/>
    <w:rsid w:val="00821AE3"/>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rvativ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FPEUB\Desktop\NY%20BOLIGBESKATNING\annex_a%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Open Sans" charset="0"/>
                <a:ea typeface="Open Sans" charset="0"/>
                <a:cs typeface="Open Sans" charset="0"/>
              </a:defRPr>
            </a:pPr>
            <a:r>
              <a:rPr lang="da-DK" kern="0" cap="none" spc="0" baseline="0">
                <a:latin typeface="Open Sans" charset="0"/>
                <a:ea typeface="Open Sans" charset="0"/>
                <a:cs typeface="Open Sans" charset="0"/>
              </a:rPr>
              <a:t>Eksempel på diagram</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Open Sans" charset="0"/>
              <a:ea typeface="Open Sans" charset="0"/>
              <a:cs typeface="Open Sans" charset="0"/>
            </a:defRPr>
          </a:pPr>
          <a:endParaRPr lang="en-US"/>
        </a:p>
      </c:txPr>
    </c:title>
    <c:autoTitleDeleted val="0"/>
    <c:plotArea>
      <c:layout/>
      <c:barChart>
        <c:barDir val="bar"/>
        <c:grouping val="stacked"/>
        <c:varyColors val="0"/>
        <c:ser>
          <c:idx val="0"/>
          <c:order val="0"/>
          <c:tx>
            <c:strRef>
              <c:f>'C.5.1_G'!$Y$5</c:f>
              <c:strCache>
                <c:ptCount val="1"/>
                <c:pt idx="0">
                  <c:v>Løbende bolgiskatter</c:v>
                </c:pt>
              </c:strCache>
            </c:strRef>
          </c:tx>
          <c:spPr>
            <a:solidFill>
              <a:schemeClr val="accent6">
                <a:shade val="76000"/>
                <a:alpha val="70000"/>
              </a:schemeClr>
            </a:solidFill>
            <a:ln>
              <a:noFill/>
            </a:ln>
            <a:effectLst/>
          </c:spPr>
          <c:invertIfNegative val="0"/>
          <c:cat>
            <c:strRef>
              <c:f>'C.5.1_G'!$X$6:$X$36</c:f>
              <c:strCache>
                <c:ptCount val="31"/>
                <c:pt idx="0">
                  <c:v>Malta</c:v>
                </c:pt>
                <c:pt idx="1">
                  <c:v>Kroatien</c:v>
                </c:pt>
                <c:pt idx="2">
                  <c:v>Luxembourg</c:v>
                </c:pt>
                <c:pt idx="3">
                  <c:v>Norge</c:v>
                </c:pt>
                <c:pt idx="4">
                  <c:v>Østrig</c:v>
                </c:pt>
                <c:pt idx="5">
                  <c:v>Tjekkiet</c:v>
                </c:pt>
                <c:pt idx="6">
                  <c:v>Litauen</c:v>
                </c:pt>
                <c:pt idx="7">
                  <c:v>Bulgarien</c:v>
                </c:pt>
                <c:pt idx="8">
                  <c:v>Estland</c:v>
                </c:pt>
                <c:pt idx="9">
                  <c:v>Island</c:v>
                </c:pt>
                <c:pt idx="10">
                  <c:v>Ungarn</c:v>
                </c:pt>
                <c:pt idx="11">
                  <c:v>Slovakiet</c:v>
                </c:pt>
                <c:pt idx="12">
                  <c:v>Tyskland</c:v>
                </c:pt>
                <c:pt idx="13">
                  <c:v>Cypern</c:v>
                </c:pt>
                <c:pt idx="14">
                  <c:v>Slovenien</c:v>
                </c:pt>
                <c:pt idx="15">
                  <c:v>Rumænien</c:v>
                </c:pt>
                <c:pt idx="16">
                  <c:v>Finland</c:v>
                </c:pt>
                <c:pt idx="17">
                  <c:v>Holland</c:v>
                </c:pt>
                <c:pt idx="18">
                  <c:v>Portugal</c:v>
                </c:pt>
                <c:pt idx="19">
                  <c:v>Sverige</c:v>
                </c:pt>
                <c:pt idx="20">
                  <c:v>Letland</c:v>
                </c:pt>
                <c:pt idx="21">
                  <c:v>Irland</c:v>
                </c:pt>
                <c:pt idx="22">
                  <c:v>Spanien</c:v>
                </c:pt>
                <c:pt idx="23">
                  <c:v>Polen</c:v>
                </c:pt>
                <c:pt idx="24">
                  <c:v>Belgien</c:v>
                </c:pt>
                <c:pt idx="25">
                  <c:v>Grækenland</c:v>
                </c:pt>
                <c:pt idx="26">
                  <c:v>EU28-gennemsnit*</c:v>
                </c:pt>
                <c:pt idx="27">
                  <c:v>Italien</c:v>
                </c:pt>
                <c:pt idx="28">
                  <c:v>Danmark</c:v>
                </c:pt>
                <c:pt idx="29">
                  <c:v>Frankrig</c:v>
                </c:pt>
                <c:pt idx="30">
                  <c:v>Storbritannien</c:v>
                </c:pt>
              </c:strCache>
            </c:strRef>
          </c:cat>
          <c:val>
            <c:numRef>
              <c:f>'C.5.1_G'!$Y$6:$Y$36</c:f>
              <c:numCache>
                <c:formatCode>0.0%</c:formatCode>
                <c:ptCount val="31"/>
                <c:pt idx="0">
                  <c:v>0</c:v>
                </c:pt>
                <c:pt idx="1">
                  <c:v>2.9581700000000101E-4</c:v>
                </c:pt>
                <c:pt idx="2">
                  <c:v>7.1672100000000002E-4</c:v>
                </c:pt>
                <c:pt idx="3">
                  <c:v>9.1872399999999999E-4</c:v>
                </c:pt>
                <c:pt idx="4">
                  <c:v>2.08016200000001E-3</c:v>
                </c:pt>
                <c:pt idx="5">
                  <c:v>2.48054700000001E-3</c:v>
                </c:pt>
                <c:pt idx="6">
                  <c:v>2.844629E-3</c:v>
                </c:pt>
                <c:pt idx="7">
                  <c:v>3.091487E-3</c:v>
                </c:pt>
                <c:pt idx="8">
                  <c:v>3.364896E-3</c:v>
                </c:pt>
                <c:pt idx="9">
                  <c:v>3.6833400000000102E-3</c:v>
                </c:pt>
                <c:pt idx="10">
                  <c:v>4.0598500000000003E-3</c:v>
                </c:pt>
                <c:pt idx="11">
                  <c:v>4.283434E-3</c:v>
                </c:pt>
                <c:pt idx="12">
                  <c:v>4.5042010000000098E-3</c:v>
                </c:pt>
                <c:pt idx="13">
                  <c:v>5.1635989999999996E-3</c:v>
                </c:pt>
                <c:pt idx="14">
                  <c:v>5.33609800000002E-3</c:v>
                </c:pt>
                <c:pt idx="15">
                  <c:v>6.4171979999999998E-3</c:v>
                </c:pt>
                <c:pt idx="16">
                  <c:v>6.5959979999999996E-3</c:v>
                </c:pt>
                <c:pt idx="17">
                  <c:v>6.7624610000000104E-3</c:v>
                </c:pt>
                <c:pt idx="18">
                  <c:v>7.2827220000000201E-3</c:v>
                </c:pt>
                <c:pt idx="19">
                  <c:v>8.0085439999999994E-3</c:v>
                </c:pt>
                <c:pt idx="20">
                  <c:v>8.4598080000000304E-3</c:v>
                </c:pt>
                <c:pt idx="21">
                  <c:v>8.7532930000000005E-3</c:v>
                </c:pt>
                <c:pt idx="22">
                  <c:v>1.1571410000000001E-2</c:v>
                </c:pt>
                <c:pt idx="23">
                  <c:v>1.235375E-2</c:v>
                </c:pt>
                <c:pt idx="24">
                  <c:v>1.2962349999999999E-2</c:v>
                </c:pt>
                <c:pt idx="25">
                  <c:v>1.422459E-2</c:v>
                </c:pt>
                <c:pt idx="26">
                  <c:v>1.49802410048363E-2</c:v>
                </c:pt>
                <c:pt idx="27">
                  <c:v>1.5835889999999998E-2</c:v>
                </c:pt>
                <c:pt idx="28">
                  <c:v>2.0723470000000001E-2</c:v>
                </c:pt>
                <c:pt idx="29">
                  <c:v>2.381867E-2</c:v>
                </c:pt>
                <c:pt idx="30">
                  <c:v>3.3752190000000001E-2</c:v>
                </c:pt>
              </c:numCache>
            </c:numRef>
          </c:val>
          <c:extLst>
            <c:ext xmlns:c16="http://schemas.microsoft.com/office/drawing/2014/chart" uri="{C3380CC4-5D6E-409C-BE32-E72D297353CC}">
              <c16:uniqueId val="{00000000-52A6-724A-B042-F009E4B9C1E2}"/>
            </c:ext>
          </c:extLst>
        </c:ser>
        <c:ser>
          <c:idx val="1"/>
          <c:order val="1"/>
          <c:tx>
            <c:strRef>
              <c:f>'C.5.1_G'!$Z$5</c:f>
              <c:strCache>
                <c:ptCount val="1"/>
                <c:pt idx="0">
                  <c:v>Andre boligskatter (typisk ved køb/salg)</c:v>
                </c:pt>
              </c:strCache>
            </c:strRef>
          </c:tx>
          <c:spPr>
            <a:solidFill>
              <a:schemeClr val="accent6">
                <a:tint val="77000"/>
                <a:alpha val="70000"/>
              </a:schemeClr>
            </a:solidFill>
            <a:ln>
              <a:noFill/>
            </a:ln>
            <a:effectLst/>
          </c:spPr>
          <c:invertIfNegative val="0"/>
          <c:cat>
            <c:strRef>
              <c:f>'C.5.1_G'!$X$6:$X$36</c:f>
              <c:strCache>
                <c:ptCount val="31"/>
                <c:pt idx="0">
                  <c:v>Malta</c:v>
                </c:pt>
                <c:pt idx="1">
                  <c:v>Kroatien</c:v>
                </c:pt>
                <c:pt idx="2">
                  <c:v>Luxembourg</c:v>
                </c:pt>
                <c:pt idx="3">
                  <c:v>Norge</c:v>
                </c:pt>
                <c:pt idx="4">
                  <c:v>Østrig</c:v>
                </c:pt>
                <c:pt idx="5">
                  <c:v>Tjekkiet</c:v>
                </c:pt>
                <c:pt idx="6">
                  <c:v>Litauen</c:v>
                </c:pt>
                <c:pt idx="7">
                  <c:v>Bulgarien</c:v>
                </c:pt>
                <c:pt idx="8">
                  <c:v>Estland</c:v>
                </c:pt>
                <c:pt idx="9">
                  <c:v>Island</c:v>
                </c:pt>
                <c:pt idx="10">
                  <c:v>Ungarn</c:v>
                </c:pt>
                <c:pt idx="11">
                  <c:v>Slovakiet</c:v>
                </c:pt>
                <c:pt idx="12">
                  <c:v>Tyskland</c:v>
                </c:pt>
                <c:pt idx="13">
                  <c:v>Cypern</c:v>
                </c:pt>
                <c:pt idx="14">
                  <c:v>Slovenien</c:v>
                </c:pt>
                <c:pt idx="15">
                  <c:v>Rumænien</c:v>
                </c:pt>
                <c:pt idx="16">
                  <c:v>Finland</c:v>
                </c:pt>
                <c:pt idx="17">
                  <c:v>Holland</c:v>
                </c:pt>
                <c:pt idx="18">
                  <c:v>Portugal</c:v>
                </c:pt>
                <c:pt idx="19">
                  <c:v>Sverige</c:v>
                </c:pt>
                <c:pt idx="20">
                  <c:v>Letland</c:v>
                </c:pt>
                <c:pt idx="21">
                  <c:v>Irland</c:v>
                </c:pt>
                <c:pt idx="22">
                  <c:v>Spanien</c:v>
                </c:pt>
                <c:pt idx="23">
                  <c:v>Polen</c:v>
                </c:pt>
                <c:pt idx="24">
                  <c:v>Belgien</c:v>
                </c:pt>
                <c:pt idx="25">
                  <c:v>Grækenland</c:v>
                </c:pt>
                <c:pt idx="26">
                  <c:v>EU28-gennemsnit*</c:v>
                </c:pt>
                <c:pt idx="27">
                  <c:v>Italien</c:v>
                </c:pt>
                <c:pt idx="28">
                  <c:v>Danmark</c:v>
                </c:pt>
                <c:pt idx="29">
                  <c:v>Frankrig</c:v>
                </c:pt>
                <c:pt idx="30">
                  <c:v>Storbritannien</c:v>
                </c:pt>
              </c:strCache>
            </c:strRef>
          </c:cat>
          <c:val>
            <c:numRef>
              <c:f>'C.5.1_G'!$Z$6:$Z$36</c:f>
              <c:numCache>
                <c:formatCode>0.0%</c:formatCode>
                <c:ptCount val="31"/>
                <c:pt idx="0">
                  <c:v>1.015973E-2</c:v>
                </c:pt>
                <c:pt idx="1">
                  <c:v>2.9892E-3</c:v>
                </c:pt>
                <c:pt idx="2">
                  <c:v>1.20996E-2</c:v>
                </c:pt>
                <c:pt idx="3">
                  <c:v>7.8241990000000004E-3</c:v>
                </c:pt>
                <c:pt idx="4">
                  <c:v>3.4409150000000101E-3</c:v>
                </c:pt>
                <c:pt idx="5">
                  <c:v>2.1713890000000101E-3</c:v>
                </c:pt>
                <c:pt idx="6">
                  <c:v>1.6568710000000001E-3</c:v>
                </c:pt>
                <c:pt idx="7">
                  <c:v>2.5166379999999999E-3</c:v>
                </c:pt>
                <c:pt idx="8">
                  <c:v>0</c:v>
                </c:pt>
                <c:pt idx="9">
                  <c:v>9.5242120000000006E-3</c:v>
                </c:pt>
                <c:pt idx="10">
                  <c:v>7.9899940000000107E-3</c:v>
                </c:pt>
                <c:pt idx="11">
                  <c:v>2.391879E-3</c:v>
                </c:pt>
                <c:pt idx="12">
                  <c:v>4.646715E-3</c:v>
                </c:pt>
                <c:pt idx="13">
                  <c:v>2.3532470000000002E-3</c:v>
                </c:pt>
                <c:pt idx="14">
                  <c:v>1.0260040000000001E-3</c:v>
                </c:pt>
                <c:pt idx="15">
                  <c:v>1.43881E-3</c:v>
                </c:pt>
                <c:pt idx="16">
                  <c:v>5.6663260000000097E-3</c:v>
                </c:pt>
                <c:pt idx="17">
                  <c:v>5.2157549999999999E-3</c:v>
                </c:pt>
                <c:pt idx="18">
                  <c:v>6.5889190000000099E-3</c:v>
                </c:pt>
                <c:pt idx="19">
                  <c:v>2.2415920000000101E-3</c:v>
                </c:pt>
                <c:pt idx="20">
                  <c:v>1.020378E-3</c:v>
                </c:pt>
                <c:pt idx="21">
                  <c:v>5.0442760000000003E-3</c:v>
                </c:pt>
                <c:pt idx="22">
                  <c:v>1.0070920000000001E-2</c:v>
                </c:pt>
                <c:pt idx="23">
                  <c:v>1.83673E-4</c:v>
                </c:pt>
                <c:pt idx="24">
                  <c:v>2.1162549999999999E-2</c:v>
                </c:pt>
                <c:pt idx="25">
                  <c:v>6.5755179999999998E-3</c:v>
                </c:pt>
                <c:pt idx="26">
                  <c:v>7.6540633928258803E-3</c:v>
                </c:pt>
                <c:pt idx="27">
                  <c:v>9.9335680000000003E-3</c:v>
                </c:pt>
                <c:pt idx="28">
                  <c:v>4.8046039999999996E-3</c:v>
                </c:pt>
                <c:pt idx="29">
                  <c:v>1.2330880000000001E-2</c:v>
                </c:pt>
                <c:pt idx="30">
                  <c:v>7.6995390000000096E-3</c:v>
                </c:pt>
              </c:numCache>
            </c:numRef>
          </c:val>
          <c:extLst>
            <c:ext xmlns:c16="http://schemas.microsoft.com/office/drawing/2014/chart" uri="{C3380CC4-5D6E-409C-BE32-E72D297353CC}">
              <c16:uniqueId val="{00000001-52A6-724A-B042-F009E4B9C1E2}"/>
            </c:ext>
          </c:extLst>
        </c:ser>
        <c:dLbls>
          <c:showLegendKey val="0"/>
          <c:showVal val="0"/>
          <c:showCatName val="0"/>
          <c:showSerName val="0"/>
          <c:showPercent val="0"/>
          <c:showBubbleSize val="0"/>
        </c:dLbls>
        <c:gapWidth val="55"/>
        <c:overlap val="100"/>
        <c:axId val="1485065072"/>
        <c:axId val="1485065616"/>
      </c:barChart>
      <c:catAx>
        <c:axId val="1485065072"/>
        <c:scaling>
          <c:orientation val="minMax"/>
        </c:scaling>
        <c:delete val="0"/>
        <c:axPos val="l"/>
        <c:numFmt formatCode="General" sourceLinked="0"/>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charset="0"/>
                <a:ea typeface="Open Sans" charset="0"/>
                <a:cs typeface="Open Sans" charset="0"/>
              </a:defRPr>
            </a:pPr>
            <a:endParaRPr lang="en-US"/>
          </a:p>
        </c:txPr>
        <c:crossAx val="1485065616"/>
        <c:crosses val="autoZero"/>
        <c:auto val="1"/>
        <c:lblAlgn val="ctr"/>
        <c:lblOffset val="100"/>
        <c:noMultiLvlLbl val="0"/>
      </c:catAx>
      <c:valAx>
        <c:axId val="1485065616"/>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065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charset="0"/>
              <a:ea typeface="Open Sans" charset="0"/>
              <a:cs typeface="Open Sans"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2016 Det Konservative Folkepar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t Konservative Folkeparti" id="{E65162C5-447F-2F4F-9500-00EF6ABDD1B7}" vid="{DCB9407D-8519-8843-8D8E-30AB283F37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08F01-2FAD-8843-B3EA-0312E41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Notatskabelon 2019.dotx</Template>
  <TotalTime>0</TotalTime>
  <Pages>4</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Rugholm</cp:lastModifiedBy>
  <cp:revision>1</cp:revision>
  <cp:lastPrinted>2016-01-15T08:40:00Z</cp:lastPrinted>
  <dcterms:created xsi:type="dcterms:W3CDTF">2019-10-21T09:48:00Z</dcterms:created>
  <dcterms:modified xsi:type="dcterms:W3CDTF">2019-10-21T09:48:00Z</dcterms:modified>
</cp:coreProperties>
</file>